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CF27" w14:textId="67E8A9C9" w:rsidR="00134EBA" w:rsidRPr="00C120F2" w:rsidRDefault="00134EBA" w:rsidP="000339F4">
      <w:pPr>
        <w:spacing w:after="0" w:line="240" w:lineRule="auto"/>
        <w:jc w:val="center"/>
        <w:rPr>
          <w:b/>
          <w:sz w:val="28"/>
          <w:szCs w:val="28"/>
        </w:rPr>
      </w:pPr>
      <w:r w:rsidRPr="00C120F2">
        <w:rPr>
          <w:b/>
          <w:sz w:val="28"/>
          <w:szCs w:val="28"/>
        </w:rPr>
        <w:t>College of Life Sciences</w:t>
      </w:r>
      <w:r w:rsidR="000339F4" w:rsidRPr="00C120F2">
        <w:rPr>
          <w:b/>
          <w:sz w:val="28"/>
          <w:szCs w:val="28"/>
        </w:rPr>
        <w:t>-D</w:t>
      </w:r>
      <w:r w:rsidRPr="00C120F2">
        <w:rPr>
          <w:b/>
          <w:sz w:val="28"/>
          <w:szCs w:val="28"/>
        </w:rPr>
        <w:t>ean</w:t>
      </w:r>
      <w:r w:rsidR="00B06162">
        <w:rPr>
          <w:b/>
          <w:sz w:val="28"/>
          <w:szCs w:val="28"/>
        </w:rPr>
        <w:t>’</w:t>
      </w:r>
      <w:r w:rsidRPr="00C120F2">
        <w:rPr>
          <w:b/>
          <w:sz w:val="28"/>
          <w:szCs w:val="28"/>
        </w:rPr>
        <w:t>s Office</w:t>
      </w:r>
    </w:p>
    <w:p w14:paraId="394AE768" w14:textId="74E5630F" w:rsidR="00134EBA" w:rsidRDefault="00134EBA" w:rsidP="000339F4">
      <w:pPr>
        <w:spacing w:after="0" w:line="240" w:lineRule="auto"/>
        <w:jc w:val="center"/>
        <w:rPr>
          <w:b/>
          <w:sz w:val="28"/>
          <w:szCs w:val="28"/>
        </w:rPr>
      </w:pPr>
      <w:r w:rsidRPr="00C120F2">
        <w:rPr>
          <w:b/>
          <w:sz w:val="28"/>
          <w:szCs w:val="28"/>
        </w:rPr>
        <w:t>College Mentoring Supplement Awards (CEMENT)</w:t>
      </w:r>
    </w:p>
    <w:p w14:paraId="1F161A68" w14:textId="149D5DB4" w:rsidR="00F879A9" w:rsidRPr="00C120F2" w:rsidRDefault="00F879A9" w:rsidP="000339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Key Assumption Criteria</w:t>
      </w:r>
    </w:p>
    <w:p w14:paraId="099C4B43" w14:textId="77777777" w:rsidR="000339F4" w:rsidRPr="000339F4" w:rsidRDefault="000339F4" w:rsidP="000339F4">
      <w:pPr>
        <w:spacing w:after="0" w:line="240" w:lineRule="auto"/>
        <w:jc w:val="center"/>
        <w:rPr>
          <w:b/>
        </w:rPr>
      </w:pPr>
    </w:p>
    <w:p w14:paraId="4C0011F2" w14:textId="31F4720A" w:rsidR="00134EBA" w:rsidRPr="00027E6F" w:rsidRDefault="00027E6F" w:rsidP="00134EBA">
      <w:pPr>
        <w:spacing w:after="0" w:line="240" w:lineRule="auto"/>
        <w:rPr>
          <w:bCs/>
        </w:rPr>
      </w:pPr>
      <w:r>
        <w:rPr>
          <w:b/>
        </w:rPr>
        <w:t>Purpose</w:t>
      </w:r>
      <w:proofErr w:type="gramStart"/>
      <w:r>
        <w:rPr>
          <w:b/>
        </w:rPr>
        <w:t xml:space="preserve">:  </w:t>
      </w:r>
      <w:r>
        <w:rPr>
          <w:bCs/>
        </w:rPr>
        <w:t>To</w:t>
      </w:r>
      <w:proofErr w:type="gramEnd"/>
      <w:r>
        <w:rPr>
          <w:bCs/>
        </w:rPr>
        <w:t xml:space="preserve"> provide </w:t>
      </w:r>
      <w:r w:rsidR="00F74E2A">
        <w:rPr>
          <w:bCs/>
        </w:rPr>
        <w:t xml:space="preserve">student </w:t>
      </w:r>
      <w:proofErr w:type="gramStart"/>
      <w:r w:rsidR="00F74E2A">
        <w:rPr>
          <w:bCs/>
        </w:rPr>
        <w:t xml:space="preserve">wage </w:t>
      </w:r>
      <w:r>
        <w:rPr>
          <w:bCs/>
        </w:rPr>
        <w:t xml:space="preserve"> support</w:t>
      </w:r>
      <w:proofErr w:type="gramEnd"/>
      <w:r>
        <w:rPr>
          <w:bCs/>
        </w:rPr>
        <w:t xml:space="preserve"> of student-centered research in </w:t>
      </w:r>
      <w:r w:rsidR="00AA10A6">
        <w:rPr>
          <w:bCs/>
        </w:rPr>
        <w:t>the College of Life Sciences</w:t>
      </w:r>
      <w:r>
        <w:rPr>
          <w:bCs/>
        </w:rPr>
        <w:t xml:space="preserve"> programs that have successfully attracted external funding.</w:t>
      </w:r>
    </w:p>
    <w:p w14:paraId="39BD4B21" w14:textId="77777777" w:rsidR="001172B3" w:rsidRPr="001172B3" w:rsidRDefault="007C2264" w:rsidP="00134E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color w:val="000000"/>
        </w:rPr>
        <w:t>Eligibility</w:t>
      </w:r>
      <w:r w:rsidR="00134EBA">
        <w:rPr>
          <w:color w:val="000000"/>
        </w:rPr>
        <w:t>:</w:t>
      </w:r>
    </w:p>
    <w:p w14:paraId="2DF7FF24" w14:textId="77777777" w:rsidR="00717896" w:rsidRPr="00717896" w:rsidRDefault="00134EBA" w:rsidP="001172B3">
      <w:pPr>
        <w:pStyle w:val="ListParagraph"/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color w:val="000000"/>
        </w:rPr>
        <w:t xml:space="preserve">  </w:t>
      </w:r>
    </w:p>
    <w:p w14:paraId="1E03CCDD" w14:textId="60B89C1A" w:rsidR="00150FDD" w:rsidRPr="00150FDD" w:rsidRDefault="000339F4" w:rsidP="00C41D8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150FDD">
        <w:rPr>
          <w:color w:val="000000"/>
          <w:sz w:val="21"/>
          <w:szCs w:val="21"/>
        </w:rPr>
        <w:t xml:space="preserve">Faculty who are listed as an active </w:t>
      </w:r>
      <w:proofErr w:type="gramStart"/>
      <w:r w:rsidRPr="00150FDD">
        <w:rPr>
          <w:color w:val="000000"/>
          <w:sz w:val="21"/>
          <w:szCs w:val="21"/>
        </w:rPr>
        <w:t>full time</w:t>
      </w:r>
      <w:proofErr w:type="gramEnd"/>
      <w:r w:rsidRPr="00150FDD">
        <w:rPr>
          <w:color w:val="000000"/>
          <w:sz w:val="21"/>
          <w:szCs w:val="21"/>
        </w:rPr>
        <w:t xml:space="preserve"> employee of the University as of</w:t>
      </w:r>
      <w:r w:rsidR="00940606" w:rsidRPr="00150FDD">
        <w:rPr>
          <w:color w:val="000000"/>
          <w:sz w:val="21"/>
          <w:szCs w:val="21"/>
        </w:rPr>
        <w:t xml:space="preserve"> </w:t>
      </w:r>
      <w:r w:rsidR="006E37A1">
        <w:rPr>
          <w:color w:val="000000"/>
          <w:sz w:val="21"/>
          <w:szCs w:val="21"/>
        </w:rPr>
        <w:t>September 30</w:t>
      </w:r>
      <w:r w:rsidR="006E37A1" w:rsidRPr="006E37A1">
        <w:rPr>
          <w:color w:val="000000"/>
          <w:sz w:val="21"/>
          <w:szCs w:val="21"/>
          <w:vertAlign w:val="superscript"/>
        </w:rPr>
        <w:t>th</w:t>
      </w:r>
      <w:r w:rsidR="006E37A1">
        <w:rPr>
          <w:color w:val="000000"/>
          <w:sz w:val="21"/>
          <w:szCs w:val="21"/>
        </w:rPr>
        <w:t xml:space="preserve"> of the current year</w:t>
      </w:r>
      <w:r w:rsidR="00357C9E">
        <w:rPr>
          <w:color w:val="000000"/>
          <w:sz w:val="21"/>
          <w:szCs w:val="21"/>
        </w:rPr>
        <w:t xml:space="preserve"> and are hired within the College of Life Sciences</w:t>
      </w:r>
      <w:r w:rsidR="006E37A1">
        <w:rPr>
          <w:color w:val="000000"/>
          <w:sz w:val="21"/>
          <w:szCs w:val="21"/>
        </w:rPr>
        <w:t>.</w:t>
      </w:r>
    </w:p>
    <w:p w14:paraId="12D70A63" w14:textId="77777777" w:rsidR="00C120F2" w:rsidRPr="00150FDD" w:rsidRDefault="00940606" w:rsidP="00150FDD">
      <w:pPr>
        <w:pStyle w:val="ListParagraph"/>
        <w:spacing w:before="100" w:beforeAutospacing="1" w:after="100" w:afterAutospacing="1"/>
        <w:ind w:left="1440"/>
        <w:rPr>
          <w:color w:val="000000"/>
          <w:sz w:val="21"/>
          <w:szCs w:val="21"/>
        </w:rPr>
      </w:pPr>
      <w:r w:rsidRPr="00150FDD">
        <w:rPr>
          <w:color w:val="000000"/>
          <w:sz w:val="21"/>
          <w:szCs w:val="21"/>
        </w:rPr>
        <w:t xml:space="preserve"> </w:t>
      </w:r>
    </w:p>
    <w:p w14:paraId="5EB6321C" w14:textId="7BB61DB7" w:rsidR="00940606" w:rsidRPr="00940606" w:rsidRDefault="007C2264" w:rsidP="00484A7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 w:rsidRPr="00C120F2">
        <w:rPr>
          <w:color w:val="000000"/>
        </w:rPr>
        <w:t xml:space="preserve">Faculty who </w:t>
      </w:r>
      <w:proofErr w:type="gramStart"/>
      <w:r w:rsidR="00150FDD">
        <w:rPr>
          <w:color w:val="000000"/>
        </w:rPr>
        <w:t>have</w:t>
      </w:r>
      <w:proofErr w:type="gramEnd"/>
      <w:r w:rsidR="00150FDD">
        <w:rPr>
          <w:color w:val="000000"/>
        </w:rPr>
        <w:t xml:space="preserve"> </w:t>
      </w:r>
      <w:r w:rsidR="00292C34">
        <w:rPr>
          <w:color w:val="000000"/>
        </w:rPr>
        <w:t>an active</w:t>
      </w:r>
      <w:r w:rsidRPr="00C120F2">
        <w:rPr>
          <w:color w:val="000000"/>
        </w:rPr>
        <w:t xml:space="preserve"> </w:t>
      </w:r>
      <w:proofErr w:type="gramStart"/>
      <w:r w:rsidR="007E7D3F" w:rsidRPr="00C120F2">
        <w:rPr>
          <w:color w:val="000000"/>
        </w:rPr>
        <w:t>external R</w:t>
      </w:r>
      <w:proofErr w:type="gramEnd"/>
      <w:r w:rsidR="007E7D3F" w:rsidRPr="00C120F2">
        <w:rPr>
          <w:color w:val="000000"/>
        </w:rPr>
        <w:t xml:space="preserve"> project</w:t>
      </w:r>
      <w:r w:rsidRPr="00C120F2">
        <w:rPr>
          <w:color w:val="000000"/>
        </w:rPr>
        <w:t>(s)</w:t>
      </w:r>
      <w:r w:rsidR="007E7D3F" w:rsidRPr="00C120F2">
        <w:rPr>
          <w:color w:val="000000"/>
        </w:rPr>
        <w:t xml:space="preserve"> </w:t>
      </w:r>
      <w:r w:rsidR="00150FDD">
        <w:rPr>
          <w:color w:val="000000"/>
        </w:rPr>
        <w:t xml:space="preserve">anytime during the measurement period (Sept 30 previous year to September 30 current year) </w:t>
      </w:r>
      <w:r w:rsidR="00940606">
        <w:rPr>
          <w:color w:val="000000"/>
        </w:rPr>
        <w:t>who are mentoring undergraduate students.</w:t>
      </w:r>
    </w:p>
    <w:p w14:paraId="0EAD3437" w14:textId="77777777" w:rsidR="00940606" w:rsidRPr="00940606" w:rsidRDefault="00940606" w:rsidP="00940606">
      <w:pPr>
        <w:pStyle w:val="ListParagraph"/>
        <w:rPr>
          <w:color w:val="000000"/>
        </w:rPr>
      </w:pPr>
    </w:p>
    <w:p w14:paraId="4B131CCB" w14:textId="3DAA297B" w:rsidR="00DC19C2" w:rsidRPr="007E7D3F" w:rsidRDefault="00DC19C2" w:rsidP="00EF5839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Any</w:t>
      </w:r>
      <w:r w:rsidR="00940606">
        <w:rPr>
          <w:color w:val="000000"/>
          <w:sz w:val="21"/>
          <w:szCs w:val="21"/>
        </w:rPr>
        <w:t xml:space="preserve"> faculty members who have applied and listed </w:t>
      </w:r>
      <w:r w:rsidR="002A707C">
        <w:rPr>
          <w:color w:val="000000"/>
          <w:sz w:val="21"/>
          <w:szCs w:val="21"/>
        </w:rPr>
        <w:t xml:space="preserve">themselves as being </w:t>
      </w:r>
      <w:r>
        <w:rPr>
          <w:color w:val="000000"/>
          <w:sz w:val="21"/>
          <w:szCs w:val="21"/>
        </w:rPr>
        <w:t>a co-investigator on a</w:t>
      </w:r>
      <w:r w:rsidR="00940606">
        <w:rPr>
          <w:color w:val="000000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 w:rsidR="002A707C">
        <w:rPr>
          <w:color w:val="000000"/>
          <w:sz w:val="21"/>
          <w:szCs w:val="21"/>
        </w:rPr>
        <w:t>R project</w:t>
      </w:r>
      <w:r w:rsidR="00406602">
        <w:rPr>
          <w:color w:val="000000"/>
          <w:sz w:val="21"/>
          <w:szCs w:val="21"/>
        </w:rPr>
        <w:t>, either inside or outside the College of Life Sciences,</w:t>
      </w:r>
      <w:r>
        <w:rPr>
          <w:color w:val="000000"/>
          <w:sz w:val="21"/>
          <w:szCs w:val="21"/>
        </w:rPr>
        <w:t xml:space="preserve"> </w:t>
      </w:r>
      <w:r w:rsidR="00A23193">
        <w:rPr>
          <w:color w:val="000000"/>
          <w:sz w:val="21"/>
          <w:szCs w:val="21"/>
        </w:rPr>
        <w:t>and who are</w:t>
      </w:r>
      <w:r>
        <w:rPr>
          <w:color w:val="000000"/>
          <w:sz w:val="21"/>
          <w:szCs w:val="21"/>
        </w:rPr>
        <w:t xml:space="preserve"> recognized as being such by the </w:t>
      </w:r>
      <w:r w:rsidR="00D630FF">
        <w:rPr>
          <w:color w:val="000000"/>
          <w:sz w:val="21"/>
          <w:szCs w:val="21"/>
        </w:rPr>
        <w:t>Research Administration Office (RAO)</w:t>
      </w:r>
      <w:r>
        <w:rPr>
          <w:color w:val="000000"/>
          <w:sz w:val="21"/>
          <w:szCs w:val="21"/>
        </w:rPr>
        <w:t xml:space="preserve"> </w:t>
      </w:r>
      <w:r w:rsidR="00D630FF">
        <w:rPr>
          <w:color w:val="000000"/>
          <w:sz w:val="21"/>
          <w:szCs w:val="21"/>
        </w:rPr>
        <w:t xml:space="preserve">Kauli system </w:t>
      </w:r>
      <w:r>
        <w:rPr>
          <w:color w:val="000000"/>
          <w:sz w:val="21"/>
          <w:szCs w:val="21"/>
        </w:rPr>
        <w:t xml:space="preserve">and </w:t>
      </w:r>
      <w:r w:rsidR="00C34E60">
        <w:rPr>
          <w:color w:val="000000"/>
          <w:sz w:val="21"/>
          <w:szCs w:val="21"/>
        </w:rPr>
        <w:t xml:space="preserve">the university </w:t>
      </w:r>
      <w:r>
        <w:rPr>
          <w:color w:val="000000"/>
          <w:sz w:val="21"/>
          <w:szCs w:val="21"/>
        </w:rPr>
        <w:t>accounting system.</w:t>
      </w:r>
      <w:r w:rsidR="00150FDD">
        <w:rPr>
          <w:color w:val="000000"/>
          <w:sz w:val="21"/>
          <w:szCs w:val="21"/>
        </w:rPr>
        <w:t xml:space="preserve">  The project budget will be divided by the number of investigators and co-investigators involved to determine eligible amounts.</w:t>
      </w:r>
    </w:p>
    <w:p w14:paraId="37446B4B" w14:textId="77777777" w:rsidR="007E7D3F" w:rsidRDefault="007E7D3F" w:rsidP="000339F4">
      <w:pPr>
        <w:pStyle w:val="ListParagraph"/>
        <w:spacing w:before="100" w:beforeAutospacing="1" w:after="100" w:afterAutospacing="1"/>
        <w:ind w:left="1440"/>
        <w:rPr>
          <w:color w:val="000000"/>
          <w:sz w:val="21"/>
          <w:szCs w:val="21"/>
        </w:rPr>
      </w:pPr>
    </w:p>
    <w:p w14:paraId="56D4E407" w14:textId="77777777" w:rsidR="00150FDD" w:rsidRPr="00134EBA" w:rsidRDefault="00150FDD" w:rsidP="000339F4">
      <w:pPr>
        <w:pStyle w:val="ListParagraph"/>
        <w:spacing w:before="100" w:beforeAutospacing="1" w:after="100" w:afterAutospacing="1"/>
        <w:ind w:left="1440"/>
        <w:rPr>
          <w:color w:val="000000"/>
          <w:sz w:val="21"/>
          <w:szCs w:val="21"/>
        </w:rPr>
      </w:pPr>
    </w:p>
    <w:p w14:paraId="403CBAD5" w14:textId="77777777" w:rsidR="00134EBA" w:rsidRPr="001172B3" w:rsidRDefault="001172B3" w:rsidP="00134EB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color w:val="000000"/>
        </w:rPr>
        <w:t>C</w:t>
      </w:r>
      <w:r w:rsidR="00134EBA">
        <w:rPr>
          <w:color w:val="000000"/>
        </w:rPr>
        <w:t>alculation formula</w:t>
      </w:r>
      <w:r>
        <w:rPr>
          <w:color w:val="000000"/>
        </w:rPr>
        <w:t xml:space="preserve"> to be used to “verify” the eligibility of faculty to receive awards</w:t>
      </w:r>
      <w:r w:rsidR="00134EBA">
        <w:rPr>
          <w:color w:val="000000"/>
        </w:rPr>
        <w:t>:</w:t>
      </w:r>
    </w:p>
    <w:p w14:paraId="74D8527F" w14:textId="77777777" w:rsidR="001172B3" w:rsidRPr="00134EBA" w:rsidRDefault="001172B3" w:rsidP="001172B3">
      <w:pPr>
        <w:pStyle w:val="ListParagraph"/>
        <w:spacing w:before="100" w:beforeAutospacing="1" w:after="100" w:afterAutospacing="1"/>
        <w:rPr>
          <w:color w:val="000000"/>
          <w:sz w:val="21"/>
          <w:szCs w:val="21"/>
        </w:rPr>
      </w:pPr>
    </w:p>
    <w:p w14:paraId="29E1B92A" w14:textId="23F484C9" w:rsidR="00853CD8" w:rsidRPr="00C120F2" w:rsidRDefault="002E7FAB" w:rsidP="000B333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color w:val="000000"/>
        </w:rPr>
        <w:t xml:space="preserve">Using the </w:t>
      </w:r>
      <w:r w:rsidR="00A23193">
        <w:rPr>
          <w:color w:val="000000"/>
        </w:rPr>
        <w:t xml:space="preserve">university generated </w:t>
      </w:r>
      <w:r w:rsidR="00BD43F0">
        <w:rPr>
          <w:color w:val="000000"/>
        </w:rPr>
        <w:t>Workday “BYU Budget Vs Actuals Overview by Grant” s</w:t>
      </w:r>
      <w:r>
        <w:rPr>
          <w:color w:val="000000"/>
        </w:rPr>
        <w:t>ummary report, the maximum budget</w:t>
      </w:r>
      <w:r w:rsidR="002C6314">
        <w:rPr>
          <w:color w:val="000000"/>
        </w:rPr>
        <w:t xml:space="preserve"> balance amount </w:t>
      </w:r>
      <w:r w:rsidR="00406602">
        <w:rPr>
          <w:color w:val="000000"/>
        </w:rPr>
        <w:t>is</w:t>
      </w:r>
      <w:r w:rsidR="002C6314">
        <w:rPr>
          <w:color w:val="000000"/>
        </w:rPr>
        <w:t xml:space="preserve"> calculated by </w:t>
      </w:r>
      <w:r w:rsidR="00406602">
        <w:rPr>
          <w:color w:val="000000"/>
        </w:rPr>
        <w:t>comparing the previous year</w:t>
      </w:r>
      <w:r w:rsidR="00A23193">
        <w:rPr>
          <w:color w:val="000000"/>
        </w:rPr>
        <w:t>’s</w:t>
      </w:r>
      <w:r w:rsidR="00406602">
        <w:rPr>
          <w:color w:val="000000"/>
        </w:rPr>
        <w:t xml:space="preserve"> September </w:t>
      </w:r>
      <w:r w:rsidR="00A23193">
        <w:rPr>
          <w:color w:val="000000"/>
        </w:rPr>
        <w:t>30</w:t>
      </w:r>
      <w:r w:rsidR="00A23193" w:rsidRPr="00406602">
        <w:rPr>
          <w:color w:val="000000"/>
          <w:vertAlign w:val="superscript"/>
        </w:rPr>
        <w:t>th</w:t>
      </w:r>
      <w:r w:rsidR="00A23193">
        <w:rPr>
          <w:color w:val="000000"/>
        </w:rPr>
        <w:t>,</w:t>
      </w:r>
      <w:r w:rsidR="00406602">
        <w:rPr>
          <w:color w:val="000000"/>
        </w:rPr>
        <w:t xml:space="preserve"> the current year March 31</w:t>
      </w:r>
      <w:r w:rsidR="00406602" w:rsidRPr="00406602">
        <w:rPr>
          <w:color w:val="000000"/>
          <w:vertAlign w:val="superscript"/>
        </w:rPr>
        <w:t>st</w:t>
      </w:r>
      <w:r w:rsidR="00406602">
        <w:rPr>
          <w:color w:val="000000"/>
        </w:rPr>
        <w:t>, and the current year’s September 30</w:t>
      </w:r>
      <w:r w:rsidR="00406602" w:rsidRPr="00406602">
        <w:rPr>
          <w:color w:val="000000"/>
          <w:vertAlign w:val="superscript"/>
        </w:rPr>
        <w:t>th</w:t>
      </w:r>
      <w:r w:rsidR="00406602">
        <w:rPr>
          <w:color w:val="000000"/>
        </w:rPr>
        <w:t xml:space="preserve"> b</w:t>
      </w:r>
      <w:r>
        <w:rPr>
          <w:color w:val="000000"/>
        </w:rPr>
        <w:t>udget</w:t>
      </w:r>
      <w:r w:rsidR="00406602">
        <w:rPr>
          <w:color w:val="000000"/>
        </w:rPr>
        <w:t xml:space="preserve"> balance</w:t>
      </w:r>
      <w:r>
        <w:rPr>
          <w:color w:val="000000"/>
        </w:rPr>
        <w:t xml:space="preserve"> amounts for each grant.</w:t>
      </w:r>
    </w:p>
    <w:p w14:paraId="538950CE" w14:textId="77777777" w:rsidR="00C120F2" w:rsidRPr="00C120F2" w:rsidRDefault="00C120F2" w:rsidP="00C120F2">
      <w:pPr>
        <w:pStyle w:val="ListParagraph"/>
        <w:rPr>
          <w:color w:val="000000"/>
          <w:sz w:val="21"/>
          <w:szCs w:val="21"/>
        </w:rPr>
      </w:pPr>
    </w:p>
    <w:p w14:paraId="55EDD2CA" w14:textId="4F8CB4A7" w:rsidR="007C2264" w:rsidRPr="00FA6439" w:rsidRDefault="007C2264" w:rsidP="000B333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color w:val="000000"/>
        </w:rPr>
        <w:t xml:space="preserve">The eligible award amount will be </w:t>
      </w:r>
      <w:r w:rsidR="00853CD8">
        <w:rPr>
          <w:color w:val="000000"/>
        </w:rPr>
        <w:t xml:space="preserve">10% of </w:t>
      </w:r>
      <w:r w:rsidR="000339F4">
        <w:rPr>
          <w:color w:val="000000"/>
        </w:rPr>
        <w:t xml:space="preserve">the </w:t>
      </w:r>
      <w:r w:rsidR="002E7FAB">
        <w:rPr>
          <w:color w:val="000000"/>
        </w:rPr>
        <w:t>maximum budget</w:t>
      </w:r>
      <w:r>
        <w:rPr>
          <w:color w:val="000000"/>
        </w:rPr>
        <w:t xml:space="preserve"> </w:t>
      </w:r>
      <w:r w:rsidR="007E7D3F">
        <w:rPr>
          <w:color w:val="000000"/>
        </w:rPr>
        <w:t>summarize</w:t>
      </w:r>
      <w:r>
        <w:rPr>
          <w:color w:val="000000"/>
        </w:rPr>
        <w:t>d for each faculty</w:t>
      </w:r>
      <w:r w:rsidR="00C04860">
        <w:rPr>
          <w:color w:val="000000"/>
        </w:rPr>
        <w:t xml:space="preserve"> </w:t>
      </w:r>
      <w:r>
        <w:rPr>
          <w:color w:val="000000"/>
        </w:rPr>
        <w:t>but not exceeding $5,000.00 for each faculty member.</w:t>
      </w:r>
    </w:p>
    <w:p w14:paraId="1FBC7510" w14:textId="77777777" w:rsidR="00FA6439" w:rsidRPr="00FA6439" w:rsidRDefault="00FA6439" w:rsidP="00FA6439">
      <w:pPr>
        <w:pStyle w:val="ListParagraph"/>
        <w:rPr>
          <w:color w:val="000000"/>
          <w:sz w:val="21"/>
          <w:szCs w:val="21"/>
        </w:rPr>
      </w:pPr>
    </w:p>
    <w:p w14:paraId="1BE3ACF3" w14:textId="5B8A1D95" w:rsidR="00FA6439" w:rsidRDefault="00FA6439" w:rsidP="000B333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award amount is to be transferred from the Skaggs Endowment to the faculty fund</w:t>
      </w:r>
      <w:r w:rsidR="00A23193">
        <w:rPr>
          <w:color w:val="000000"/>
          <w:sz w:val="21"/>
          <w:szCs w:val="21"/>
        </w:rPr>
        <w:t xml:space="preserve"> 20 consolidated operating unit</w:t>
      </w:r>
      <w:r w:rsidR="00C34E60">
        <w:rPr>
          <w:color w:val="000000"/>
          <w:sz w:val="21"/>
          <w:szCs w:val="21"/>
        </w:rPr>
        <w:t xml:space="preserve"> around November 30</w:t>
      </w:r>
      <w:r w:rsidR="00C34E60" w:rsidRPr="00C34E60">
        <w:rPr>
          <w:color w:val="000000"/>
          <w:sz w:val="21"/>
          <w:szCs w:val="21"/>
          <w:vertAlign w:val="superscript"/>
        </w:rPr>
        <w:t>th</w:t>
      </w:r>
      <w:r w:rsidR="00C34E60">
        <w:rPr>
          <w:color w:val="000000"/>
          <w:sz w:val="21"/>
          <w:szCs w:val="21"/>
        </w:rPr>
        <w:t xml:space="preserve"> each year.</w:t>
      </w:r>
    </w:p>
    <w:p w14:paraId="28B7E2D2" w14:textId="77777777" w:rsidR="000B3C98" w:rsidRPr="00B43B6A" w:rsidRDefault="000B3C98" w:rsidP="00B43B6A">
      <w:pPr>
        <w:pStyle w:val="ListParagraph"/>
        <w:rPr>
          <w:color w:val="000000"/>
          <w:sz w:val="21"/>
          <w:szCs w:val="21"/>
        </w:rPr>
      </w:pPr>
    </w:p>
    <w:p w14:paraId="6CE68737" w14:textId="2BC5986B" w:rsidR="000B3C98" w:rsidRDefault="000B3C98" w:rsidP="000B3C98">
      <w:pPr>
        <w:spacing w:after="0" w:line="240" w:lineRule="auto"/>
        <w:ind w:left="360"/>
        <w:rPr>
          <w:bCs/>
        </w:rPr>
      </w:pPr>
      <w:r>
        <w:rPr>
          <w:b/>
        </w:rPr>
        <w:t>Accountability</w:t>
      </w:r>
      <w:r w:rsidRPr="000B3C98">
        <w:rPr>
          <w:b/>
        </w:rPr>
        <w:t xml:space="preserve">:  </w:t>
      </w:r>
      <w:r>
        <w:rPr>
          <w:bCs/>
        </w:rPr>
        <w:t xml:space="preserve">Each </w:t>
      </w:r>
      <w:r w:rsidR="009F4F37">
        <w:rPr>
          <w:bCs/>
        </w:rPr>
        <w:t xml:space="preserve">faculty </w:t>
      </w:r>
      <w:r>
        <w:rPr>
          <w:bCs/>
        </w:rPr>
        <w:t>applicant who is successful in obtaining a CEMENT grant is to provide a written email</w:t>
      </w:r>
      <w:r w:rsidR="009F4F37">
        <w:rPr>
          <w:bCs/>
        </w:rPr>
        <w:t>, within 1 year of receiving the funding,</w:t>
      </w:r>
      <w:r>
        <w:rPr>
          <w:bCs/>
        </w:rPr>
        <w:t xml:space="preserve"> to the Associate Dean over Research</w:t>
      </w:r>
      <w:r w:rsidR="009F4F37">
        <w:rPr>
          <w:bCs/>
        </w:rPr>
        <w:t xml:space="preserve"> and the College Communication Manager</w:t>
      </w:r>
      <w:r w:rsidR="00180399">
        <w:rPr>
          <w:bCs/>
        </w:rPr>
        <w:t xml:space="preserve">.  The email is to include </w:t>
      </w:r>
      <w:r>
        <w:rPr>
          <w:bCs/>
        </w:rPr>
        <w:t xml:space="preserve">the </w:t>
      </w:r>
      <w:r w:rsidR="009F4F37">
        <w:rPr>
          <w:bCs/>
        </w:rPr>
        <w:t xml:space="preserve">names of the </w:t>
      </w:r>
      <w:r>
        <w:rPr>
          <w:bCs/>
        </w:rPr>
        <w:t xml:space="preserve">students who were paid to do the </w:t>
      </w:r>
      <w:proofErr w:type="gramStart"/>
      <w:r>
        <w:rPr>
          <w:bCs/>
        </w:rPr>
        <w:t>student centered</w:t>
      </w:r>
      <w:proofErr w:type="gramEnd"/>
      <w:r>
        <w:rPr>
          <w:bCs/>
        </w:rPr>
        <w:t xml:space="preserve"> research</w:t>
      </w:r>
      <w:r w:rsidR="00180399">
        <w:rPr>
          <w:bCs/>
        </w:rPr>
        <w:t xml:space="preserve"> and a brief overview of the nature of the research</w:t>
      </w:r>
      <w:r>
        <w:rPr>
          <w:bCs/>
        </w:rPr>
        <w:t>.</w:t>
      </w:r>
    </w:p>
    <w:p w14:paraId="5C9DB1B9" w14:textId="77777777" w:rsidR="000B3C98" w:rsidRPr="00B43B6A" w:rsidRDefault="000B3C98" w:rsidP="00B43B6A">
      <w:pPr>
        <w:spacing w:before="100" w:beforeAutospacing="1" w:after="100" w:afterAutospacing="1"/>
        <w:ind w:left="360"/>
        <w:rPr>
          <w:color w:val="000000"/>
          <w:sz w:val="21"/>
          <w:szCs w:val="21"/>
        </w:rPr>
      </w:pPr>
    </w:p>
    <w:p w14:paraId="086E9A5B" w14:textId="77777777" w:rsidR="00134EBA" w:rsidRDefault="00134EBA" w:rsidP="00134EBA">
      <w:pPr>
        <w:spacing w:after="0" w:line="240" w:lineRule="auto"/>
      </w:pPr>
    </w:p>
    <w:sectPr w:rsidR="00134E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B7AF" w14:textId="77777777" w:rsidR="001C091B" w:rsidRDefault="001C091B" w:rsidP="00C120F2">
      <w:pPr>
        <w:spacing w:after="0" w:line="240" w:lineRule="auto"/>
      </w:pPr>
      <w:r>
        <w:separator/>
      </w:r>
    </w:p>
  </w:endnote>
  <w:endnote w:type="continuationSeparator" w:id="0">
    <w:p w14:paraId="26FEDE6A" w14:textId="77777777" w:rsidR="001C091B" w:rsidRDefault="001C091B" w:rsidP="00C1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6B4C" w14:textId="77777777" w:rsidR="001C091B" w:rsidRDefault="001C091B" w:rsidP="00C120F2">
      <w:pPr>
        <w:spacing w:after="0" w:line="240" w:lineRule="auto"/>
      </w:pPr>
      <w:r>
        <w:separator/>
      </w:r>
    </w:p>
  </w:footnote>
  <w:footnote w:type="continuationSeparator" w:id="0">
    <w:p w14:paraId="78811D96" w14:textId="77777777" w:rsidR="001C091B" w:rsidRDefault="001C091B" w:rsidP="00C1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63B7" w14:textId="78D6F846" w:rsidR="00C120F2" w:rsidRPr="00C120F2" w:rsidRDefault="00C120F2" w:rsidP="00C120F2">
    <w:pPr>
      <w:pStyle w:val="Header"/>
      <w:ind w:left="7200"/>
      <w:rPr>
        <w:sz w:val="20"/>
        <w:szCs w:val="20"/>
      </w:rPr>
    </w:pPr>
    <w:r>
      <w:rPr>
        <w:sz w:val="20"/>
        <w:szCs w:val="20"/>
      </w:rPr>
      <w:tab/>
    </w:r>
    <w:r w:rsidR="000B3C98">
      <w:rPr>
        <w:sz w:val="20"/>
        <w:szCs w:val="20"/>
      </w:rPr>
      <w:t>Revised</w:t>
    </w:r>
    <w:r w:rsidRPr="00C120F2">
      <w:rPr>
        <w:sz w:val="20"/>
        <w:szCs w:val="20"/>
      </w:rPr>
      <w:t xml:space="preserve"> </w:t>
    </w:r>
    <w:r w:rsidR="00BD43F0">
      <w:rPr>
        <w:sz w:val="20"/>
        <w:szCs w:val="20"/>
      </w:rPr>
      <w:t>9/3/2025</w:t>
    </w:r>
  </w:p>
  <w:p w14:paraId="4925560C" w14:textId="77777777" w:rsidR="00C120F2" w:rsidRDefault="00C12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56F"/>
    <w:multiLevelType w:val="hybridMultilevel"/>
    <w:tmpl w:val="1F9C26BE"/>
    <w:lvl w:ilvl="0" w:tplc="C818B6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C88"/>
    <w:multiLevelType w:val="hybridMultilevel"/>
    <w:tmpl w:val="FDB817BE"/>
    <w:lvl w:ilvl="0" w:tplc="770460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9267">
    <w:abstractNumId w:val="1"/>
  </w:num>
  <w:num w:numId="2" w16cid:durableId="806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18"/>
    <w:rsid w:val="00027E6F"/>
    <w:rsid w:val="000339F4"/>
    <w:rsid w:val="00046A2F"/>
    <w:rsid w:val="00060401"/>
    <w:rsid w:val="00060E99"/>
    <w:rsid w:val="00070061"/>
    <w:rsid w:val="000B3C98"/>
    <w:rsid w:val="000D63E1"/>
    <w:rsid w:val="000F550C"/>
    <w:rsid w:val="001172B3"/>
    <w:rsid w:val="00134EBA"/>
    <w:rsid w:val="00150FDD"/>
    <w:rsid w:val="00180399"/>
    <w:rsid w:val="00182062"/>
    <w:rsid w:val="001C091B"/>
    <w:rsid w:val="00292C34"/>
    <w:rsid w:val="0029308A"/>
    <w:rsid w:val="002A707C"/>
    <w:rsid w:val="002C6314"/>
    <w:rsid w:val="002E7FAB"/>
    <w:rsid w:val="00314020"/>
    <w:rsid w:val="00357C9E"/>
    <w:rsid w:val="0036437A"/>
    <w:rsid w:val="00377CF4"/>
    <w:rsid w:val="003F352F"/>
    <w:rsid w:val="00406602"/>
    <w:rsid w:val="00532E59"/>
    <w:rsid w:val="005A6FB7"/>
    <w:rsid w:val="0066448E"/>
    <w:rsid w:val="006E37A1"/>
    <w:rsid w:val="006F5CE7"/>
    <w:rsid w:val="00705795"/>
    <w:rsid w:val="00717896"/>
    <w:rsid w:val="007C2264"/>
    <w:rsid w:val="007E3FAC"/>
    <w:rsid w:val="007E7D3F"/>
    <w:rsid w:val="00812DE5"/>
    <w:rsid w:val="00853CD8"/>
    <w:rsid w:val="008B6931"/>
    <w:rsid w:val="008E3898"/>
    <w:rsid w:val="00915231"/>
    <w:rsid w:val="00940606"/>
    <w:rsid w:val="00957E29"/>
    <w:rsid w:val="009B3983"/>
    <w:rsid w:val="009D2E57"/>
    <w:rsid w:val="009E7FF9"/>
    <w:rsid w:val="009F4F37"/>
    <w:rsid w:val="00A23193"/>
    <w:rsid w:val="00A85975"/>
    <w:rsid w:val="00A8606A"/>
    <w:rsid w:val="00AA10A6"/>
    <w:rsid w:val="00AB0C72"/>
    <w:rsid w:val="00B06162"/>
    <w:rsid w:val="00B43B6A"/>
    <w:rsid w:val="00B47BA8"/>
    <w:rsid w:val="00B8573A"/>
    <w:rsid w:val="00BB55B0"/>
    <w:rsid w:val="00BD43F0"/>
    <w:rsid w:val="00BF4A30"/>
    <w:rsid w:val="00C04860"/>
    <w:rsid w:val="00C120F2"/>
    <w:rsid w:val="00C34E60"/>
    <w:rsid w:val="00C354C1"/>
    <w:rsid w:val="00D6061F"/>
    <w:rsid w:val="00D630FF"/>
    <w:rsid w:val="00D665E5"/>
    <w:rsid w:val="00DC19C2"/>
    <w:rsid w:val="00DD1A93"/>
    <w:rsid w:val="00E63226"/>
    <w:rsid w:val="00E66A18"/>
    <w:rsid w:val="00E8584E"/>
    <w:rsid w:val="00E86353"/>
    <w:rsid w:val="00E96884"/>
    <w:rsid w:val="00EF5839"/>
    <w:rsid w:val="00F05A2A"/>
    <w:rsid w:val="00F32CAC"/>
    <w:rsid w:val="00F74E2A"/>
    <w:rsid w:val="00F879A9"/>
    <w:rsid w:val="00FA6439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94C9D"/>
  <w15:chartTrackingRefBased/>
  <w15:docId w15:val="{7AB33B3B-C75E-494D-BE54-1C432CB5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F2"/>
  </w:style>
  <w:style w:type="paragraph" w:styleId="Footer">
    <w:name w:val="footer"/>
    <w:basedOn w:val="Normal"/>
    <w:link w:val="FooterChar"/>
    <w:uiPriority w:val="99"/>
    <w:unhideWhenUsed/>
    <w:rsid w:val="00C1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F2"/>
  </w:style>
  <w:style w:type="paragraph" w:styleId="BalloonText">
    <w:name w:val="Balloon Text"/>
    <w:basedOn w:val="Normal"/>
    <w:link w:val="BalloonTextChar"/>
    <w:uiPriority w:val="99"/>
    <w:semiHidden/>
    <w:unhideWhenUsed/>
    <w:rsid w:val="00DC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7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DAE6-D127-46A0-80BE-FB2F83D0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Nielson</dc:creator>
  <cp:keywords/>
  <dc:description/>
  <cp:lastModifiedBy>Russell Nielson</cp:lastModifiedBy>
  <cp:revision>14</cp:revision>
  <cp:lastPrinted>2018-02-28T22:14:00Z</cp:lastPrinted>
  <dcterms:created xsi:type="dcterms:W3CDTF">2021-09-28T16:22:00Z</dcterms:created>
  <dcterms:modified xsi:type="dcterms:W3CDTF">2025-09-03T16:13:00Z</dcterms:modified>
</cp:coreProperties>
</file>