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EB" w:rsidRDefault="006242E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</w:t>
      </w:r>
      <w:r w:rsidR="00F31A1D">
        <w:rPr>
          <w:b/>
          <w:bCs/>
          <w:sz w:val="28"/>
        </w:rPr>
        <w:t>eaching</w:t>
      </w:r>
      <w:r w:rsidR="006410E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T</w:t>
      </w:r>
      <w:r w:rsidR="00F31A1D">
        <w:rPr>
          <w:b/>
          <w:bCs/>
          <w:sz w:val="28"/>
        </w:rPr>
        <w:t>ool</w:t>
      </w:r>
      <w:r w:rsidR="006410E0">
        <w:rPr>
          <w:b/>
          <w:bCs/>
          <w:sz w:val="28"/>
        </w:rPr>
        <w:t xml:space="preserve"> </w:t>
      </w:r>
      <w:r w:rsidR="00E900FD">
        <w:rPr>
          <w:b/>
          <w:bCs/>
          <w:sz w:val="28"/>
        </w:rPr>
        <w:t>15</w:t>
      </w:r>
      <w:r w:rsidR="006410E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–</w:t>
      </w:r>
      <w:r w:rsidR="006410E0">
        <w:rPr>
          <w:b/>
          <w:bCs/>
          <w:sz w:val="28"/>
        </w:rPr>
        <w:t xml:space="preserve"> </w:t>
      </w:r>
      <w:r w:rsidR="00E900FD">
        <w:rPr>
          <w:b/>
          <w:bCs/>
          <w:sz w:val="28"/>
        </w:rPr>
        <w:t>Possible</w:t>
      </w:r>
      <w:r w:rsidR="006410E0">
        <w:rPr>
          <w:b/>
          <w:bCs/>
          <w:sz w:val="28"/>
        </w:rPr>
        <w:t xml:space="preserve"> </w:t>
      </w:r>
      <w:r w:rsidR="00E900FD">
        <w:rPr>
          <w:b/>
          <w:bCs/>
          <w:sz w:val="28"/>
        </w:rPr>
        <w:t>Benchmarks</w:t>
      </w:r>
      <w:r w:rsidR="006410E0">
        <w:rPr>
          <w:b/>
          <w:bCs/>
          <w:sz w:val="28"/>
        </w:rPr>
        <w:t xml:space="preserve"> </w:t>
      </w:r>
      <w:r w:rsidR="00E900FD">
        <w:rPr>
          <w:b/>
          <w:bCs/>
          <w:sz w:val="28"/>
        </w:rPr>
        <w:t>for</w:t>
      </w:r>
      <w:r w:rsidR="006410E0">
        <w:rPr>
          <w:b/>
          <w:bCs/>
          <w:sz w:val="28"/>
        </w:rPr>
        <w:t xml:space="preserve"> </w:t>
      </w:r>
      <w:r w:rsidR="00E900FD">
        <w:rPr>
          <w:b/>
          <w:bCs/>
          <w:sz w:val="28"/>
        </w:rPr>
        <w:t>Investment</w:t>
      </w:r>
      <w:r w:rsidR="006410E0">
        <w:rPr>
          <w:b/>
          <w:bCs/>
          <w:sz w:val="28"/>
        </w:rPr>
        <w:t xml:space="preserve"> </w:t>
      </w:r>
      <w:r w:rsidR="00E900FD">
        <w:rPr>
          <w:b/>
          <w:bCs/>
          <w:sz w:val="28"/>
        </w:rPr>
        <w:t>Plans</w:t>
      </w:r>
    </w:p>
    <w:p w:rsidR="006242EB" w:rsidRPr="00B35E3A" w:rsidRDefault="00B35E3A">
      <w:pPr>
        <w:jc w:val="center"/>
        <w:rPr>
          <w:b/>
          <w:bCs/>
          <w:sz w:val="28"/>
          <w:szCs w:val="28"/>
        </w:rPr>
      </w:pPr>
      <w:r w:rsidRPr="00B35E3A">
        <w:rPr>
          <w:b/>
          <w:bCs/>
          <w:sz w:val="28"/>
          <w:szCs w:val="28"/>
        </w:rPr>
        <w:t>Personal</w:t>
      </w:r>
      <w:r w:rsidR="006410E0">
        <w:rPr>
          <w:b/>
          <w:bCs/>
          <w:sz w:val="28"/>
          <w:szCs w:val="28"/>
        </w:rPr>
        <w:t xml:space="preserve"> </w:t>
      </w:r>
      <w:r w:rsidRPr="00B35E3A">
        <w:rPr>
          <w:b/>
          <w:bCs/>
          <w:sz w:val="28"/>
          <w:szCs w:val="28"/>
        </w:rPr>
        <w:t>Finance:</w:t>
      </w:r>
      <w:r w:rsidR="006410E0">
        <w:rPr>
          <w:b/>
          <w:bCs/>
          <w:sz w:val="28"/>
          <w:szCs w:val="28"/>
        </w:rPr>
        <w:t xml:space="preserve"> </w:t>
      </w:r>
      <w:r w:rsidR="00980ABD">
        <w:rPr>
          <w:b/>
          <w:bCs/>
          <w:sz w:val="28"/>
          <w:szCs w:val="28"/>
        </w:rPr>
        <w:t>Another</w:t>
      </w:r>
      <w:r w:rsidR="006410E0">
        <w:rPr>
          <w:b/>
          <w:bCs/>
          <w:sz w:val="28"/>
          <w:szCs w:val="28"/>
        </w:rPr>
        <w:t xml:space="preserve"> </w:t>
      </w:r>
      <w:r w:rsidRPr="00B35E3A">
        <w:rPr>
          <w:b/>
          <w:bCs/>
          <w:sz w:val="28"/>
          <w:szCs w:val="28"/>
        </w:rPr>
        <w:t>Perspective</w:t>
      </w:r>
    </w:p>
    <w:p w:rsidR="006242EB" w:rsidRDefault="006242EB">
      <w:pPr>
        <w:pBdr>
          <w:bottom w:val="single" w:sz="4" w:space="1" w:color="auto"/>
        </w:pBdr>
        <w:jc w:val="center"/>
      </w:pPr>
      <w:bookmarkStart w:id="0" w:name="_GoBack"/>
      <w:bookmarkEnd w:id="0"/>
    </w:p>
    <w:p w:rsidR="006242EB" w:rsidRDefault="006242EB"/>
    <w:p w:rsidR="006242EB" w:rsidRDefault="006242EB">
      <w:pPr>
        <w:widowControl w:val="0"/>
        <w:jc w:val="both"/>
      </w:pPr>
      <w:r>
        <w:t>One</w:t>
      </w:r>
      <w:r w:rsidR="006410E0">
        <w:t xml:space="preserve"> </w:t>
      </w:r>
      <w:r>
        <w:t>of</w:t>
      </w:r>
      <w:r w:rsidR="006410E0">
        <w:t xml:space="preserve"> </w:t>
      </w:r>
      <w:r>
        <w:t>the</w:t>
      </w:r>
      <w:r w:rsidR="006410E0">
        <w:t xml:space="preserve"> </w:t>
      </w:r>
      <w:r>
        <w:t>key</w:t>
      </w:r>
      <w:r w:rsidR="006410E0">
        <w:t xml:space="preserve"> </w:t>
      </w:r>
      <w:r>
        <w:t>decisions</w:t>
      </w:r>
      <w:r w:rsidR="006410E0">
        <w:t xml:space="preserve"> </w:t>
      </w:r>
      <w:r>
        <w:t>for</w:t>
      </w:r>
      <w:r w:rsidR="006410E0">
        <w:t xml:space="preserve"> </w:t>
      </w:r>
      <w:r>
        <w:t>an</w:t>
      </w:r>
      <w:r w:rsidR="006410E0">
        <w:t xml:space="preserve"> </w:t>
      </w:r>
      <w:r>
        <w:t>Investment</w:t>
      </w:r>
      <w:r w:rsidR="006410E0">
        <w:t xml:space="preserve"> </w:t>
      </w:r>
      <w:r>
        <w:t>Policy</w:t>
      </w:r>
      <w:r w:rsidR="006410E0">
        <w:t xml:space="preserve"> </w:t>
      </w:r>
      <w:r>
        <w:t>Statement</w:t>
      </w:r>
      <w:r w:rsidR="006410E0">
        <w:t xml:space="preserve"> </w:t>
      </w:r>
      <w:r>
        <w:t>is</w:t>
      </w:r>
      <w:r w:rsidR="006410E0">
        <w:t xml:space="preserve"> </w:t>
      </w:r>
      <w:r>
        <w:t>your</w:t>
      </w:r>
      <w:r w:rsidR="006410E0">
        <w:t xml:space="preserve"> </w:t>
      </w:r>
      <w:r>
        <w:t>choice</w:t>
      </w:r>
      <w:r w:rsidR="006410E0">
        <w:t xml:space="preserve"> </w:t>
      </w:r>
      <w:r>
        <w:t>of</w:t>
      </w:r>
      <w:r w:rsidR="006410E0">
        <w:t xml:space="preserve"> </w:t>
      </w:r>
      <w:r>
        <w:t>benchmarks.</w:t>
      </w:r>
      <w:r w:rsidR="006410E0">
        <w:t xml:space="preserve"> </w:t>
      </w:r>
      <w:r>
        <w:t>It</w:t>
      </w:r>
      <w:r w:rsidR="006410E0">
        <w:t xml:space="preserve"> </w:t>
      </w:r>
      <w:r>
        <w:t>is</w:t>
      </w:r>
      <w:r w:rsidR="006410E0">
        <w:t xml:space="preserve"> </w:t>
      </w:r>
      <w:r>
        <w:t>critical</w:t>
      </w:r>
      <w:r w:rsidR="006410E0">
        <w:t xml:space="preserve"> </w:t>
      </w:r>
      <w:r>
        <w:t>that</w:t>
      </w:r>
      <w:r w:rsidR="006410E0">
        <w:t xml:space="preserve"> </w:t>
      </w:r>
      <w:r>
        <w:t>you</w:t>
      </w:r>
      <w:r w:rsidR="006410E0">
        <w:t xml:space="preserve"> </w:t>
      </w:r>
      <w:r>
        <w:t>pick</w:t>
      </w:r>
      <w:r w:rsidR="006410E0">
        <w:t xml:space="preserve"> </w:t>
      </w:r>
      <w:r>
        <w:t>a</w:t>
      </w:r>
      <w:r w:rsidR="006410E0">
        <w:t xml:space="preserve"> </w:t>
      </w:r>
      <w:r>
        <w:t>benchmark</w:t>
      </w:r>
      <w:r w:rsidR="006410E0">
        <w:t xml:space="preserve"> </w:t>
      </w:r>
      <w:r>
        <w:t>that</w:t>
      </w:r>
      <w:r w:rsidR="006410E0">
        <w:t xml:space="preserve"> </w:t>
      </w:r>
      <w:r>
        <w:t>appropriately</w:t>
      </w:r>
      <w:r w:rsidR="006410E0">
        <w:t xml:space="preserve"> </w:t>
      </w:r>
      <w:r>
        <w:t>reflects</w:t>
      </w:r>
      <w:r w:rsidR="006410E0">
        <w:t xml:space="preserve"> </w:t>
      </w:r>
      <w:r>
        <w:t>the</w:t>
      </w:r>
      <w:r w:rsidR="006410E0">
        <w:t xml:space="preserve"> </w:t>
      </w:r>
      <w:r>
        <w:t>asset</w:t>
      </w:r>
      <w:r w:rsidR="006410E0">
        <w:t xml:space="preserve"> </w:t>
      </w:r>
      <w:r>
        <w:t>class</w:t>
      </w:r>
      <w:r w:rsidR="006410E0">
        <w:t xml:space="preserve"> </w:t>
      </w:r>
      <w:r>
        <w:t>performance</w:t>
      </w:r>
      <w:r w:rsidR="006410E0">
        <w:t xml:space="preserve"> </w:t>
      </w:r>
      <w:r>
        <w:t>that</w:t>
      </w:r>
      <w:r w:rsidR="006410E0">
        <w:t xml:space="preserve"> </w:t>
      </w:r>
      <w:r>
        <w:t>you</w:t>
      </w:r>
      <w:r w:rsidR="006410E0">
        <w:t xml:space="preserve"> </w:t>
      </w:r>
      <w:r>
        <w:t>desire</w:t>
      </w:r>
      <w:r w:rsidR="006410E0">
        <w:t xml:space="preserve"> </w:t>
      </w:r>
      <w:r>
        <w:t>to</w:t>
      </w:r>
      <w:r w:rsidR="006410E0">
        <w:t xml:space="preserve"> </w:t>
      </w:r>
      <w:r>
        <w:t>track.</w:t>
      </w:r>
      <w:r w:rsidR="006410E0">
        <w:t xml:space="preserve"> </w:t>
      </w:r>
      <w:r w:rsidR="00EC29CD">
        <w:t>The</w:t>
      </w:r>
      <w:r w:rsidR="006410E0">
        <w:t xml:space="preserve"> </w:t>
      </w:r>
      <w:r w:rsidR="009F1D68">
        <w:t>symbols</w:t>
      </w:r>
      <w:r w:rsidR="006410E0">
        <w:t xml:space="preserve"> </w:t>
      </w:r>
      <w:r w:rsidR="009F1D68">
        <w:t>to</w:t>
      </w:r>
      <w:r w:rsidR="006410E0">
        <w:t xml:space="preserve"> </w:t>
      </w:r>
      <w:r w:rsidR="009F1D68">
        <w:t>the</w:t>
      </w:r>
      <w:r w:rsidR="006410E0">
        <w:t xml:space="preserve"> </w:t>
      </w:r>
      <w:r w:rsidR="009F1D68">
        <w:t>right</w:t>
      </w:r>
      <w:r w:rsidR="006410E0">
        <w:t xml:space="preserve"> </w:t>
      </w:r>
      <w:r w:rsidR="009F1D68">
        <w:t>are</w:t>
      </w:r>
      <w:r w:rsidR="006410E0">
        <w:t xml:space="preserve"> </w:t>
      </w:r>
      <w:r w:rsidR="00EC29CD">
        <w:t>the</w:t>
      </w:r>
      <w:r w:rsidR="006410E0">
        <w:t xml:space="preserve"> </w:t>
      </w:r>
      <w:r w:rsidR="00EC29CD">
        <w:t>index</w:t>
      </w:r>
      <w:r w:rsidR="006410E0">
        <w:t xml:space="preserve"> </w:t>
      </w:r>
      <w:r w:rsidR="00EC29CD">
        <w:t>ticker</w:t>
      </w:r>
      <w:r w:rsidR="006410E0">
        <w:t xml:space="preserve"> </w:t>
      </w:r>
      <w:r w:rsidR="00EC29CD">
        <w:t>symbol</w:t>
      </w:r>
      <w:r w:rsidR="009F1D68">
        <w:t>s</w:t>
      </w:r>
      <w:r w:rsidR="00EC29CD">
        <w:t>.</w:t>
      </w:r>
    </w:p>
    <w:p w:rsidR="006242EB" w:rsidRDefault="006242EB">
      <w:pPr>
        <w:widowControl w:val="0"/>
      </w:pPr>
    </w:p>
    <w:p w:rsidR="006242EB" w:rsidRDefault="006242EB">
      <w:pPr>
        <w:widowControl w:val="0"/>
        <w:rPr>
          <w:b/>
          <w:bCs/>
        </w:rPr>
      </w:pPr>
      <w:r>
        <w:rPr>
          <w:b/>
          <w:bCs/>
        </w:rPr>
        <w:t>Equity</w:t>
      </w:r>
      <w:r w:rsidR="006410E0">
        <w:rPr>
          <w:b/>
          <w:bCs/>
        </w:rPr>
        <w:t xml:space="preserve"> </w:t>
      </w:r>
      <w:r>
        <w:rPr>
          <w:b/>
          <w:bCs/>
        </w:rPr>
        <w:t>Benchmarks</w:t>
      </w:r>
    </w:p>
    <w:p w:rsidR="006242EB" w:rsidRDefault="006242EB">
      <w:pPr>
        <w:widowControl w:val="0"/>
      </w:pPr>
      <w:r>
        <w:t>Equity</w:t>
      </w:r>
      <w:r w:rsidR="006410E0">
        <w:t xml:space="preserve"> </w:t>
      </w:r>
      <w:r>
        <w:t>indices</w:t>
      </w:r>
      <w:r w:rsidR="006410E0">
        <w:t xml:space="preserve"> </w:t>
      </w:r>
      <w:r>
        <w:t>vary</w:t>
      </w:r>
      <w:r w:rsidR="006410E0">
        <w:t xml:space="preserve"> </w:t>
      </w:r>
      <w:r>
        <w:t>depending</w:t>
      </w:r>
      <w:r w:rsidR="006410E0">
        <w:t xml:space="preserve"> </w:t>
      </w:r>
      <w:r>
        <w:t>upon</w:t>
      </w:r>
      <w:r w:rsidR="006410E0">
        <w:t xml:space="preserve"> </w:t>
      </w:r>
      <w:r>
        <w:t>the</w:t>
      </w:r>
      <w:r w:rsidR="006410E0">
        <w:t xml:space="preserve"> </w:t>
      </w:r>
      <w:r>
        <w:t>market</w:t>
      </w:r>
      <w:r w:rsidR="006410E0">
        <w:t xml:space="preserve"> </w:t>
      </w:r>
      <w:r>
        <w:t>capitalization</w:t>
      </w:r>
      <w:r w:rsidR="00E900FD">
        <w:t>,</w:t>
      </w:r>
      <w:r w:rsidR="006410E0">
        <w:t xml:space="preserve"> </w:t>
      </w:r>
      <w:r>
        <w:t>type</w:t>
      </w:r>
      <w:r w:rsidR="00E900FD">
        <w:t>,</w:t>
      </w:r>
      <w:r w:rsidR="006410E0">
        <w:t xml:space="preserve"> </w:t>
      </w:r>
      <w:r w:rsidR="00E900FD">
        <w:t>and</w:t>
      </w:r>
      <w:r w:rsidR="006410E0">
        <w:t xml:space="preserve"> </w:t>
      </w:r>
      <w:r w:rsidR="00E900FD">
        <w:t>geographic</w:t>
      </w:r>
      <w:r w:rsidR="006410E0">
        <w:t xml:space="preserve"> </w:t>
      </w:r>
      <w:r w:rsidR="00E900FD">
        <w:t>location</w:t>
      </w:r>
      <w:r w:rsidR="006410E0">
        <w:t xml:space="preserve"> </w:t>
      </w:r>
      <w:r>
        <w:t>of</w:t>
      </w:r>
      <w:r w:rsidR="006410E0">
        <w:t xml:space="preserve"> </w:t>
      </w:r>
      <w:r>
        <w:t>the</w:t>
      </w:r>
      <w:r w:rsidR="006410E0">
        <w:t xml:space="preserve"> </w:t>
      </w:r>
      <w:r>
        <w:t>companies</w:t>
      </w:r>
      <w:r w:rsidR="006410E0">
        <w:t xml:space="preserve"> </w:t>
      </w:r>
      <w:r>
        <w:t>you</w:t>
      </w:r>
      <w:r w:rsidR="006410E0">
        <w:t xml:space="preserve"> </w:t>
      </w:r>
      <w:r>
        <w:t>are</w:t>
      </w:r>
      <w:r w:rsidR="006410E0">
        <w:t xml:space="preserve"> </w:t>
      </w:r>
      <w:r>
        <w:t>trying</w:t>
      </w:r>
      <w:r w:rsidR="006410E0">
        <w:t xml:space="preserve"> </w:t>
      </w:r>
      <w:r>
        <w:t>to</w:t>
      </w:r>
      <w:r w:rsidR="006410E0">
        <w:t xml:space="preserve"> </w:t>
      </w:r>
      <w:r>
        <w:t>follow.</w:t>
      </w:r>
      <w:r w:rsidR="006410E0">
        <w:t xml:space="preserve"> </w:t>
      </w:r>
      <w:r>
        <w:t>Following</w:t>
      </w:r>
      <w:r w:rsidR="006410E0">
        <w:t xml:space="preserve"> </w:t>
      </w:r>
      <w:r>
        <w:t>are</w:t>
      </w:r>
      <w:r w:rsidR="006410E0">
        <w:t xml:space="preserve"> </w:t>
      </w:r>
      <w:r>
        <w:t>a</w:t>
      </w:r>
      <w:r w:rsidR="006410E0">
        <w:t xml:space="preserve"> </w:t>
      </w:r>
      <w:r>
        <w:t>few</w:t>
      </w:r>
      <w:r w:rsidR="006410E0">
        <w:t xml:space="preserve"> </w:t>
      </w:r>
      <w:r>
        <w:t>of</w:t>
      </w:r>
      <w:r w:rsidR="006410E0">
        <w:t xml:space="preserve"> </w:t>
      </w:r>
      <w:r>
        <w:t>the</w:t>
      </w:r>
      <w:r w:rsidR="006410E0">
        <w:t xml:space="preserve"> </w:t>
      </w:r>
      <w:r>
        <w:t>more</w:t>
      </w:r>
      <w:r w:rsidR="006410E0">
        <w:t xml:space="preserve"> </w:t>
      </w:r>
      <w:r>
        <w:t>followed</w:t>
      </w:r>
      <w:r w:rsidR="006410E0">
        <w:t xml:space="preserve"> </w:t>
      </w:r>
      <w:r>
        <w:t>equity</w:t>
      </w:r>
      <w:r w:rsidR="006410E0">
        <w:t xml:space="preserve"> </w:t>
      </w:r>
      <w:r>
        <w:t>benchmarks</w:t>
      </w:r>
      <w:r w:rsidR="006410E0">
        <w:t xml:space="preserve"> </w:t>
      </w:r>
      <w:r w:rsidR="005D2876">
        <w:t>with</w:t>
      </w:r>
      <w:r w:rsidR="006410E0">
        <w:t xml:space="preserve"> </w:t>
      </w:r>
      <w:r w:rsidR="005D2876">
        <w:t>their</w:t>
      </w:r>
      <w:r w:rsidR="006410E0">
        <w:t xml:space="preserve"> </w:t>
      </w:r>
      <w:r w:rsidR="005D2876">
        <w:t>Ticker</w:t>
      </w:r>
      <w:r w:rsidR="006410E0">
        <w:t xml:space="preserve"> </w:t>
      </w:r>
      <w:r w:rsidR="005D2876">
        <w:t>symbols</w:t>
      </w:r>
      <w:r>
        <w:t>.</w:t>
      </w:r>
    </w:p>
    <w:p w:rsidR="000C3FDF" w:rsidRDefault="000C3FDF">
      <w:pPr>
        <w:widowControl w:val="0"/>
      </w:pPr>
    </w:p>
    <w:p w:rsidR="006242EB" w:rsidRDefault="006242EB">
      <w:pPr>
        <w:widowControl w:val="0"/>
        <w:ind w:firstLine="720"/>
        <w:rPr>
          <w:b/>
          <w:bCs/>
        </w:rPr>
      </w:pPr>
      <w:r>
        <w:rPr>
          <w:b/>
          <w:bCs/>
        </w:rPr>
        <w:t>U.S.</w:t>
      </w:r>
      <w:r w:rsidR="006410E0">
        <w:rPr>
          <w:b/>
          <w:bCs/>
        </w:rPr>
        <w:t xml:space="preserve"> </w:t>
      </w:r>
      <w:r>
        <w:rPr>
          <w:b/>
          <w:bCs/>
        </w:rPr>
        <w:t>Large-cap</w:t>
      </w:r>
      <w:r w:rsidR="006410E0">
        <w:rPr>
          <w:b/>
          <w:bCs/>
        </w:rPr>
        <w:t xml:space="preserve"> </w:t>
      </w:r>
      <w:r>
        <w:rPr>
          <w:b/>
          <w:bCs/>
        </w:rPr>
        <w:t>Indices:</w:t>
      </w:r>
    </w:p>
    <w:p w:rsidR="006242EB" w:rsidRDefault="00D0217B">
      <w:pPr>
        <w:widowControl w:val="0"/>
        <w:ind w:left="1440"/>
      </w:pPr>
      <w:r>
        <w:t>S&amp;P</w:t>
      </w:r>
      <w:r w:rsidR="006410E0">
        <w:t xml:space="preserve"> </w:t>
      </w:r>
      <w:r>
        <w:t>500</w:t>
      </w:r>
      <w:r w:rsidR="006410E0">
        <w:t xml:space="preserve"> </w:t>
      </w:r>
      <w:r w:rsidR="000038FF">
        <w:tab/>
      </w:r>
      <w:r w:rsidR="000038FF">
        <w:tab/>
      </w:r>
      <w:r w:rsidR="000038FF">
        <w:tab/>
      </w:r>
      <w:r w:rsidR="000038FF">
        <w:tab/>
      </w:r>
      <w:r w:rsidR="000C3FDF">
        <w:tab/>
      </w:r>
      <w:r>
        <w:t>SPX</w:t>
      </w:r>
      <w:r w:rsidR="006410E0">
        <w:t xml:space="preserve"> </w:t>
      </w:r>
    </w:p>
    <w:p w:rsidR="006242EB" w:rsidRDefault="00D0217B">
      <w:pPr>
        <w:widowControl w:val="0"/>
        <w:ind w:left="1440"/>
      </w:pPr>
      <w:r>
        <w:t>Dow</w:t>
      </w:r>
      <w:r w:rsidR="006410E0">
        <w:t xml:space="preserve"> </w:t>
      </w:r>
      <w:r>
        <w:t>30</w:t>
      </w:r>
      <w:r w:rsidR="006410E0">
        <w:t xml:space="preserve"> </w:t>
      </w:r>
      <w:r>
        <w:t>Industrials</w:t>
      </w:r>
      <w:r w:rsidR="006410E0">
        <w:t xml:space="preserve"> </w:t>
      </w:r>
      <w:r w:rsidR="000038FF">
        <w:tab/>
      </w:r>
      <w:r w:rsidR="000038FF">
        <w:tab/>
      </w:r>
      <w:r w:rsidR="000038FF">
        <w:tab/>
      </w:r>
      <w:r w:rsidR="000C3FDF">
        <w:tab/>
      </w:r>
      <w:r>
        <w:t>INDU</w:t>
      </w:r>
      <w:r w:rsidR="006410E0">
        <w:t xml:space="preserve"> </w:t>
      </w:r>
    </w:p>
    <w:p w:rsidR="006242EB" w:rsidRDefault="005D2876">
      <w:pPr>
        <w:widowControl w:val="0"/>
      </w:pPr>
      <w:r>
        <w:tab/>
      </w:r>
      <w:r>
        <w:tab/>
        <w:t>Russell</w:t>
      </w:r>
      <w:r w:rsidR="006410E0">
        <w:t xml:space="preserve"> </w:t>
      </w:r>
      <w:r>
        <w:t>1000</w:t>
      </w:r>
      <w:r w:rsidR="000C3FDF">
        <w:tab/>
      </w:r>
      <w:r w:rsidR="000C3FDF">
        <w:tab/>
      </w:r>
      <w:r w:rsidR="000C3FDF">
        <w:tab/>
      </w:r>
      <w:r w:rsidR="000C3FDF">
        <w:tab/>
      </w:r>
      <w:r w:rsidR="000C3FDF">
        <w:tab/>
        <w:t>RIY</w:t>
      </w:r>
    </w:p>
    <w:p w:rsidR="005D2876" w:rsidRDefault="005D2876">
      <w:pPr>
        <w:widowControl w:val="0"/>
      </w:pPr>
      <w:r>
        <w:tab/>
      </w:r>
      <w:r>
        <w:tab/>
        <w:t>Russell</w:t>
      </w:r>
      <w:r w:rsidR="006410E0">
        <w:t xml:space="preserve"> </w:t>
      </w:r>
      <w:r>
        <w:t>Top</w:t>
      </w:r>
      <w:r w:rsidR="006410E0">
        <w:t xml:space="preserve"> </w:t>
      </w:r>
      <w:r>
        <w:t>200</w:t>
      </w:r>
      <w:r w:rsidR="000C3FDF">
        <w:tab/>
      </w:r>
      <w:r w:rsidR="000C3FDF">
        <w:tab/>
      </w:r>
      <w:r w:rsidR="000C3FDF">
        <w:tab/>
      </w:r>
      <w:r w:rsidR="000C3FDF">
        <w:tab/>
        <w:t>R200</w:t>
      </w:r>
    </w:p>
    <w:p w:rsidR="005D2876" w:rsidRDefault="005D2876">
      <w:pPr>
        <w:widowControl w:val="0"/>
      </w:pPr>
    </w:p>
    <w:p w:rsidR="00197243" w:rsidRPr="00EC29CD" w:rsidRDefault="00197243">
      <w:pPr>
        <w:widowControl w:val="0"/>
        <w:rPr>
          <w:b/>
        </w:rPr>
      </w:pPr>
      <w:r>
        <w:tab/>
      </w:r>
      <w:r w:rsidRPr="00EC29CD">
        <w:rPr>
          <w:b/>
        </w:rPr>
        <w:t>U.S.</w:t>
      </w:r>
      <w:r w:rsidR="006410E0">
        <w:rPr>
          <w:b/>
        </w:rPr>
        <w:t xml:space="preserve"> </w:t>
      </w:r>
      <w:r w:rsidRPr="00EC29CD">
        <w:rPr>
          <w:b/>
        </w:rPr>
        <w:t>Mid-cap</w:t>
      </w:r>
      <w:r w:rsidR="006410E0">
        <w:rPr>
          <w:b/>
        </w:rPr>
        <w:t xml:space="preserve"> </w:t>
      </w:r>
      <w:r w:rsidRPr="00EC29CD">
        <w:rPr>
          <w:b/>
        </w:rPr>
        <w:t>Indices</w:t>
      </w:r>
    </w:p>
    <w:p w:rsidR="00197243" w:rsidRDefault="00197243">
      <w:pPr>
        <w:widowControl w:val="0"/>
      </w:pPr>
      <w:r>
        <w:tab/>
      </w:r>
      <w:r>
        <w:tab/>
        <w:t>S&amp;P</w:t>
      </w:r>
      <w:r w:rsidR="006410E0">
        <w:t xml:space="preserve"> </w:t>
      </w:r>
      <w:r>
        <w:t>400</w:t>
      </w:r>
      <w:r w:rsidR="006410E0">
        <w:t xml:space="preserve"> </w:t>
      </w:r>
      <w:r w:rsidR="000038FF">
        <w:tab/>
      </w:r>
      <w:r w:rsidR="000038FF">
        <w:tab/>
      </w:r>
      <w:r w:rsidR="000038FF">
        <w:tab/>
      </w:r>
      <w:r w:rsidR="000038FF">
        <w:tab/>
      </w:r>
      <w:r w:rsidR="000C3FDF">
        <w:tab/>
      </w:r>
      <w:r w:rsidR="00EC29CD">
        <w:t>MID</w:t>
      </w:r>
    </w:p>
    <w:p w:rsidR="00197243" w:rsidRDefault="00197243">
      <w:pPr>
        <w:widowControl w:val="0"/>
      </w:pPr>
      <w:r>
        <w:tab/>
      </w:r>
      <w:r>
        <w:tab/>
      </w:r>
      <w:r w:rsidR="00EC29CD">
        <w:t>Russell</w:t>
      </w:r>
      <w:r w:rsidR="006410E0">
        <w:t xml:space="preserve"> </w:t>
      </w:r>
      <w:r>
        <w:t>Mid-cap</w:t>
      </w:r>
      <w:r w:rsidR="006410E0">
        <w:t xml:space="preserve"> </w:t>
      </w:r>
      <w:r w:rsidR="000038FF">
        <w:tab/>
      </w:r>
      <w:r w:rsidR="000038FF">
        <w:tab/>
      </w:r>
      <w:r w:rsidR="000038FF">
        <w:tab/>
      </w:r>
      <w:r w:rsidR="000C3FDF">
        <w:tab/>
      </w:r>
      <w:r w:rsidR="00EC29CD">
        <w:t>RMC</w:t>
      </w:r>
    </w:p>
    <w:p w:rsidR="00EC29CD" w:rsidRDefault="005D2876">
      <w:pPr>
        <w:widowControl w:val="0"/>
      </w:pPr>
      <w:r>
        <w:tab/>
      </w:r>
      <w:r>
        <w:tab/>
      </w:r>
    </w:p>
    <w:p w:rsidR="006242EB" w:rsidRDefault="006242EB">
      <w:pPr>
        <w:widowControl w:val="0"/>
        <w:ind w:left="720"/>
        <w:rPr>
          <w:b/>
          <w:bCs/>
        </w:rPr>
      </w:pPr>
      <w:r>
        <w:rPr>
          <w:b/>
          <w:bCs/>
        </w:rPr>
        <w:t>U.S.</w:t>
      </w:r>
      <w:r w:rsidR="006410E0">
        <w:rPr>
          <w:b/>
          <w:bCs/>
        </w:rPr>
        <w:t xml:space="preserve"> </w:t>
      </w:r>
      <w:r>
        <w:rPr>
          <w:b/>
          <w:bCs/>
        </w:rPr>
        <w:t>Small-cap</w:t>
      </w:r>
      <w:r w:rsidR="006410E0">
        <w:rPr>
          <w:b/>
          <w:bCs/>
        </w:rPr>
        <w:t xml:space="preserve"> </w:t>
      </w:r>
      <w:r>
        <w:rPr>
          <w:b/>
          <w:bCs/>
        </w:rPr>
        <w:t>Indices:</w:t>
      </w:r>
    </w:p>
    <w:p w:rsidR="006242EB" w:rsidRDefault="006242EB">
      <w:pPr>
        <w:widowControl w:val="0"/>
        <w:ind w:left="1440"/>
      </w:pPr>
      <w:r>
        <w:t>Russell</w:t>
      </w:r>
      <w:r w:rsidR="006410E0">
        <w:t xml:space="preserve"> </w:t>
      </w:r>
      <w:r w:rsidR="005D2876">
        <w:t>2</w:t>
      </w:r>
      <w:r>
        <w:t>000</w:t>
      </w:r>
      <w:r w:rsidR="006410E0">
        <w:t xml:space="preserve"> </w:t>
      </w:r>
      <w:r w:rsidR="000C3FDF">
        <w:tab/>
      </w:r>
      <w:r w:rsidR="000C3FDF">
        <w:tab/>
      </w:r>
      <w:r w:rsidR="000C3FDF">
        <w:tab/>
      </w:r>
      <w:r w:rsidR="000C3FDF">
        <w:tab/>
      </w:r>
      <w:r w:rsidR="000C3FDF">
        <w:tab/>
        <w:t>RTY</w:t>
      </w:r>
    </w:p>
    <w:p w:rsidR="006242EB" w:rsidRDefault="006242EB">
      <w:pPr>
        <w:widowControl w:val="0"/>
        <w:ind w:left="1440"/>
      </w:pPr>
      <w:r>
        <w:t>Russell</w:t>
      </w:r>
      <w:r w:rsidR="006410E0">
        <w:t xml:space="preserve"> </w:t>
      </w:r>
      <w:r w:rsidR="005D2876">
        <w:t>Small</w:t>
      </w:r>
      <w:r w:rsidR="006410E0">
        <w:t xml:space="preserve"> </w:t>
      </w:r>
      <w:r w:rsidR="005D2876">
        <w:t>Cap</w:t>
      </w:r>
      <w:r w:rsidR="006410E0">
        <w:t xml:space="preserve"> </w:t>
      </w:r>
      <w:r w:rsidR="005D2876">
        <w:t>Completeness</w:t>
      </w:r>
      <w:r w:rsidR="000C3FDF">
        <w:tab/>
      </w:r>
      <w:r w:rsidR="000C3FDF">
        <w:tab/>
        <w:t>RSCC</w:t>
      </w:r>
    </w:p>
    <w:p w:rsidR="006242EB" w:rsidRDefault="00EC29CD">
      <w:pPr>
        <w:widowControl w:val="0"/>
        <w:ind w:left="720"/>
      </w:pPr>
      <w:r>
        <w:tab/>
        <w:t>S&amp;P</w:t>
      </w:r>
      <w:r w:rsidR="006410E0">
        <w:t xml:space="preserve"> </w:t>
      </w:r>
      <w:r>
        <w:t>600</w:t>
      </w:r>
      <w:r w:rsidR="006410E0">
        <w:t xml:space="preserve"> </w:t>
      </w:r>
      <w:r>
        <w:t>Small-cap</w:t>
      </w:r>
      <w:r w:rsidR="006410E0">
        <w:t xml:space="preserve"> </w:t>
      </w:r>
      <w:r w:rsidR="000038FF">
        <w:tab/>
      </w:r>
      <w:r w:rsidR="000038FF">
        <w:tab/>
      </w:r>
      <w:r w:rsidR="000038FF">
        <w:tab/>
      </w:r>
      <w:r w:rsidR="000C3FDF">
        <w:tab/>
      </w:r>
      <w:r>
        <w:t>SML</w:t>
      </w:r>
    </w:p>
    <w:p w:rsidR="00EC29CD" w:rsidRDefault="00EC29CD">
      <w:pPr>
        <w:widowControl w:val="0"/>
        <w:ind w:left="720"/>
      </w:pPr>
    </w:p>
    <w:p w:rsidR="00EC29CD" w:rsidRPr="00EC29CD" w:rsidRDefault="00EC29CD">
      <w:pPr>
        <w:widowControl w:val="0"/>
        <w:ind w:left="720"/>
        <w:rPr>
          <w:b/>
        </w:rPr>
      </w:pPr>
      <w:r w:rsidRPr="00EC29CD">
        <w:rPr>
          <w:b/>
        </w:rPr>
        <w:t>Total</w:t>
      </w:r>
      <w:r w:rsidR="006410E0">
        <w:rPr>
          <w:b/>
        </w:rPr>
        <w:t xml:space="preserve"> </w:t>
      </w:r>
      <w:r w:rsidRPr="00EC29CD">
        <w:rPr>
          <w:b/>
        </w:rPr>
        <w:t>Market</w:t>
      </w:r>
      <w:r w:rsidR="006410E0">
        <w:rPr>
          <w:b/>
        </w:rPr>
        <w:t xml:space="preserve"> </w:t>
      </w:r>
      <w:r w:rsidRPr="00EC29CD">
        <w:rPr>
          <w:b/>
        </w:rPr>
        <w:t>Indices:</w:t>
      </w:r>
    </w:p>
    <w:p w:rsidR="00EC29CD" w:rsidRDefault="00EC29CD">
      <w:pPr>
        <w:widowControl w:val="0"/>
        <w:ind w:left="720"/>
      </w:pPr>
      <w:r>
        <w:tab/>
        <w:t>Wilshire</w:t>
      </w:r>
      <w:r w:rsidR="006410E0">
        <w:t xml:space="preserve"> </w:t>
      </w:r>
      <w:r>
        <w:t>5000</w:t>
      </w:r>
      <w:r w:rsidR="006410E0">
        <w:t xml:space="preserve"> </w:t>
      </w:r>
      <w:r>
        <w:t>Total</w:t>
      </w:r>
      <w:r w:rsidR="006410E0">
        <w:t xml:space="preserve"> </w:t>
      </w:r>
      <w:r>
        <w:t>Ma</w:t>
      </w:r>
      <w:r w:rsidR="00D0217B">
        <w:t>r</w:t>
      </w:r>
      <w:r>
        <w:t>ket</w:t>
      </w:r>
      <w:r w:rsidR="000038FF">
        <w:tab/>
      </w:r>
      <w:r w:rsidR="000038FF">
        <w:tab/>
      </w:r>
      <w:r w:rsidR="006410E0">
        <w:t xml:space="preserve"> </w:t>
      </w:r>
      <w:r w:rsidR="000C3FDF">
        <w:tab/>
      </w:r>
      <w:r>
        <w:t>TMW</w:t>
      </w:r>
    </w:p>
    <w:p w:rsidR="00EC29CD" w:rsidRDefault="00EC29CD">
      <w:pPr>
        <w:widowControl w:val="0"/>
        <w:ind w:left="720"/>
      </w:pPr>
      <w:r>
        <w:tab/>
        <w:t>S&amp;P</w:t>
      </w:r>
      <w:r w:rsidR="006410E0">
        <w:t xml:space="preserve"> </w:t>
      </w:r>
      <w:r>
        <w:t>Super</w:t>
      </w:r>
      <w:r w:rsidR="00D0217B">
        <w:t>-</w:t>
      </w:r>
      <w:r>
        <w:t>composite</w:t>
      </w:r>
      <w:r w:rsidR="006410E0">
        <w:t xml:space="preserve"> </w:t>
      </w:r>
      <w:r>
        <w:t>1500</w:t>
      </w:r>
      <w:r w:rsidR="006410E0">
        <w:t xml:space="preserve"> </w:t>
      </w:r>
      <w:r w:rsidR="000038FF">
        <w:tab/>
      </w:r>
      <w:r w:rsidR="000038FF">
        <w:tab/>
      </w:r>
      <w:r w:rsidR="000C3FDF">
        <w:tab/>
      </w:r>
      <w:r>
        <w:t>SPR</w:t>
      </w:r>
    </w:p>
    <w:p w:rsidR="00EC29CD" w:rsidRDefault="005D2876">
      <w:pPr>
        <w:widowControl w:val="0"/>
        <w:ind w:left="720"/>
      </w:pPr>
      <w:r>
        <w:tab/>
        <w:t>Russell</w:t>
      </w:r>
      <w:r w:rsidR="006410E0">
        <w:t xml:space="preserve"> </w:t>
      </w:r>
      <w:r>
        <w:t>3000</w:t>
      </w:r>
      <w:r w:rsidR="006410E0">
        <w:t xml:space="preserve"> </w:t>
      </w:r>
      <w:r w:rsidR="000038FF">
        <w:tab/>
      </w:r>
      <w:r w:rsidR="000038FF">
        <w:tab/>
      </w:r>
      <w:r w:rsidR="000038FF">
        <w:tab/>
      </w:r>
      <w:r w:rsidR="000038FF">
        <w:tab/>
      </w:r>
      <w:r w:rsidR="000C3FDF">
        <w:tab/>
      </w:r>
      <w:r>
        <w:t>RAY</w:t>
      </w:r>
    </w:p>
    <w:p w:rsidR="005D2876" w:rsidRDefault="005D2876">
      <w:pPr>
        <w:widowControl w:val="0"/>
        <w:ind w:left="720"/>
      </w:pPr>
    </w:p>
    <w:p w:rsidR="006242EB" w:rsidRDefault="006242EB">
      <w:pPr>
        <w:widowControl w:val="0"/>
        <w:ind w:left="720"/>
        <w:rPr>
          <w:b/>
          <w:bCs/>
        </w:rPr>
      </w:pPr>
      <w:r>
        <w:rPr>
          <w:b/>
          <w:bCs/>
        </w:rPr>
        <w:t>International/Regional:</w:t>
      </w:r>
    </w:p>
    <w:p w:rsidR="006242EB" w:rsidRDefault="006242EB">
      <w:pPr>
        <w:widowControl w:val="0"/>
        <w:ind w:left="1440"/>
      </w:pPr>
      <w:r>
        <w:t>MSCI</w:t>
      </w:r>
      <w:r w:rsidR="006410E0">
        <w:t xml:space="preserve"> </w:t>
      </w:r>
      <w:r>
        <w:t>Europe,</w:t>
      </w:r>
      <w:r w:rsidR="006410E0">
        <w:t xml:space="preserve"> </w:t>
      </w:r>
      <w:r>
        <w:t>Australia,</w:t>
      </w:r>
      <w:r w:rsidR="006410E0">
        <w:t xml:space="preserve"> </w:t>
      </w:r>
      <w:r>
        <w:t>and</w:t>
      </w:r>
      <w:r w:rsidR="006410E0">
        <w:t xml:space="preserve"> </w:t>
      </w:r>
      <w:r>
        <w:t>Far</w:t>
      </w:r>
      <w:r w:rsidR="006410E0">
        <w:t xml:space="preserve"> </w:t>
      </w:r>
      <w:r>
        <w:t>East</w:t>
      </w:r>
      <w:r w:rsidR="006410E0">
        <w:t xml:space="preserve"> </w:t>
      </w:r>
      <w:r w:rsidR="000C3FDF">
        <w:tab/>
      </w:r>
      <w:r>
        <w:t>MXEA</w:t>
      </w:r>
    </w:p>
    <w:p w:rsidR="006242EB" w:rsidRDefault="006242EB">
      <w:pPr>
        <w:widowControl w:val="0"/>
        <w:ind w:left="1440"/>
      </w:pPr>
      <w:r>
        <w:t>MSCI</w:t>
      </w:r>
      <w:r w:rsidR="006410E0">
        <w:t xml:space="preserve"> </w:t>
      </w:r>
      <w:r>
        <w:t>World</w:t>
      </w:r>
      <w:r w:rsidR="006410E0">
        <w:t xml:space="preserve"> </w:t>
      </w:r>
      <w:r w:rsidR="000038FF">
        <w:tab/>
      </w:r>
      <w:r w:rsidR="000038FF">
        <w:tab/>
      </w:r>
      <w:r w:rsidR="000038FF">
        <w:tab/>
      </w:r>
      <w:r w:rsidR="000038FF">
        <w:tab/>
      </w:r>
      <w:r w:rsidR="000C3FDF">
        <w:tab/>
      </w:r>
      <w:r>
        <w:t>MXWO</w:t>
      </w:r>
    </w:p>
    <w:p w:rsidR="007141AF" w:rsidRDefault="007141AF">
      <w:pPr>
        <w:widowControl w:val="0"/>
        <w:ind w:left="1440"/>
      </w:pPr>
      <w:r>
        <w:t>S&amp;P</w:t>
      </w:r>
      <w:r w:rsidR="006410E0">
        <w:t xml:space="preserve"> </w:t>
      </w:r>
      <w:r>
        <w:t>Global</w:t>
      </w:r>
      <w:r w:rsidR="006410E0">
        <w:t xml:space="preserve"> </w:t>
      </w:r>
      <w:r>
        <w:t>1200</w:t>
      </w:r>
      <w:r w:rsidR="006410E0">
        <w:t xml:space="preserve"> </w:t>
      </w:r>
      <w:r>
        <w:t>Index</w:t>
      </w:r>
      <w:r w:rsidR="006410E0">
        <w:t xml:space="preserve"> </w:t>
      </w:r>
      <w:r w:rsidR="000038FF">
        <w:tab/>
      </w:r>
      <w:r w:rsidR="000038FF">
        <w:tab/>
      </w:r>
      <w:r w:rsidR="000C3FDF">
        <w:tab/>
      </w:r>
      <w:r w:rsidR="00A8649A">
        <w:t>SPINGLOB</w:t>
      </w:r>
    </w:p>
    <w:p w:rsidR="006B4191" w:rsidRDefault="00FC3B18">
      <w:pPr>
        <w:widowControl w:val="0"/>
        <w:ind w:left="1440"/>
      </w:pPr>
      <w:r>
        <w:t>MSCI</w:t>
      </w:r>
      <w:r w:rsidR="006410E0">
        <w:t xml:space="preserve"> </w:t>
      </w:r>
      <w:r>
        <w:t>world</w:t>
      </w:r>
      <w:r w:rsidR="006410E0">
        <w:t xml:space="preserve"> </w:t>
      </w:r>
      <w:r>
        <w:t>Free</w:t>
      </w:r>
      <w:r w:rsidR="006410E0">
        <w:t xml:space="preserve"> </w:t>
      </w:r>
      <w:r>
        <w:t>ex-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ab/>
      </w:r>
      <w:r>
        <w:tab/>
      </w:r>
      <w:r>
        <w:tab/>
        <w:t>GDUEACWZ</w:t>
      </w:r>
    </w:p>
    <w:p w:rsidR="00FC3B18" w:rsidRDefault="00FC3B18">
      <w:pPr>
        <w:widowControl w:val="0"/>
        <w:ind w:left="1440"/>
      </w:pPr>
    </w:p>
    <w:p w:rsidR="006B4191" w:rsidRPr="006B4191" w:rsidRDefault="006B4191" w:rsidP="006B4191">
      <w:pPr>
        <w:widowControl w:val="0"/>
        <w:ind w:left="720"/>
        <w:rPr>
          <w:b/>
        </w:rPr>
      </w:pPr>
      <w:r w:rsidRPr="006B4191">
        <w:rPr>
          <w:b/>
        </w:rPr>
        <w:t>Emerging</w:t>
      </w:r>
      <w:r w:rsidR="006410E0">
        <w:rPr>
          <w:b/>
        </w:rPr>
        <w:t xml:space="preserve"> </w:t>
      </w:r>
      <w:r w:rsidRPr="006B4191">
        <w:rPr>
          <w:b/>
        </w:rPr>
        <w:t>Markets</w:t>
      </w:r>
    </w:p>
    <w:p w:rsidR="006B4191" w:rsidRDefault="000038FF" w:rsidP="006B4191">
      <w:pPr>
        <w:widowControl w:val="0"/>
        <w:ind w:left="720"/>
      </w:pPr>
      <w:r>
        <w:tab/>
        <w:t>MSCI</w:t>
      </w:r>
      <w:r w:rsidR="006410E0">
        <w:t xml:space="preserve"> </w:t>
      </w:r>
      <w:r>
        <w:t>Emerging</w:t>
      </w:r>
      <w:r w:rsidR="006410E0">
        <w:t xml:space="preserve"> </w:t>
      </w:r>
      <w:r>
        <w:t>Markets</w:t>
      </w:r>
      <w:r w:rsidR="006410E0">
        <w:t xml:space="preserve"> </w:t>
      </w:r>
      <w:r>
        <w:tab/>
      </w:r>
      <w:r>
        <w:tab/>
      </w:r>
      <w:r w:rsidR="000C3FDF">
        <w:tab/>
      </w:r>
      <w:r>
        <w:t>MXEF</w:t>
      </w:r>
    </w:p>
    <w:p w:rsidR="006B4191" w:rsidRDefault="006B4191" w:rsidP="006B4191">
      <w:pPr>
        <w:widowControl w:val="0"/>
        <w:ind w:left="720"/>
      </w:pPr>
      <w:r>
        <w:tab/>
        <w:t>S&amp;P/IFC</w:t>
      </w:r>
      <w:r w:rsidR="006410E0">
        <w:t xml:space="preserve"> </w:t>
      </w:r>
      <w:r>
        <w:t>Emerging</w:t>
      </w:r>
      <w:r w:rsidR="006410E0">
        <w:t xml:space="preserve"> </w:t>
      </w:r>
      <w:r>
        <w:t>Markets</w:t>
      </w:r>
      <w:r w:rsidR="006410E0">
        <w:t xml:space="preserve"> </w:t>
      </w:r>
      <w:r>
        <w:t>Free</w:t>
      </w:r>
      <w:r w:rsidR="006410E0">
        <w:t xml:space="preserve"> </w:t>
      </w:r>
      <w:r w:rsidR="000038FF">
        <w:tab/>
      </w:r>
      <w:r w:rsidR="000C3FDF">
        <w:tab/>
      </w:r>
      <w:r w:rsidR="000038FF">
        <w:t>IDRICOTD</w:t>
      </w:r>
    </w:p>
    <w:p w:rsidR="006B4191" w:rsidRDefault="006B4191" w:rsidP="006B4191">
      <w:pPr>
        <w:widowControl w:val="0"/>
        <w:ind w:left="720"/>
      </w:pPr>
    </w:p>
    <w:p w:rsidR="006242EB" w:rsidRDefault="006242EB">
      <w:pPr>
        <w:widowControl w:val="0"/>
      </w:pPr>
    </w:p>
    <w:p w:rsidR="000601DD" w:rsidRDefault="000601DD">
      <w:pPr>
        <w:widowControl w:val="0"/>
      </w:pPr>
    </w:p>
    <w:p w:rsidR="006242EB" w:rsidRDefault="006242EB">
      <w:pPr>
        <w:widowControl w:val="0"/>
        <w:rPr>
          <w:b/>
          <w:bCs/>
        </w:rPr>
      </w:pPr>
      <w:r>
        <w:rPr>
          <w:b/>
          <w:bCs/>
        </w:rPr>
        <w:lastRenderedPageBreak/>
        <w:t>Bond</w:t>
      </w:r>
      <w:r w:rsidR="006410E0">
        <w:rPr>
          <w:b/>
          <w:bCs/>
        </w:rPr>
        <w:t xml:space="preserve"> </w:t>
      </w:r>
      <w:r>
        <w:rPr>
          <w:b/>
          <w:bCs/>
        </w:rPr>
        <w:t>Benchmarks</w:t>
      </w:r>
    </w:p>
    <w:p w:rsidR="006242EB" w:rsidRDefault="00E900FD">
      <w:pPr>
        <w:widowControl w:val="0"/>
        <w:jc w:val="both"/>
      </w:pPr>
      <w:r>
        <w:t>Bond</w:t>
      </w:r>
      <w:r w:rsidR="006410E0">
        <w:t xml:space="preserve"> </w:t>
      </w:r>
      <w:r>
        <w:t>benchmarks</w:t>
      </w:r>
      <w:r w:rsidR="006410E0">
        <w:t xml:space="preserve"> </w:t>
      </w:r>
      <w:r>
        <w:t>vary</w:t>
      </w:r>
      <w:r w:rsidR="006410E0">
        <w:t xml:space="preserve"> </w:t>
      </w:r>
      <w:r>
        <w:t>depending</w:t>
      </w:r>
      <w:r w:rsidR="006410E0">
        <w:t xml:space="preserve"> </w:t>
      </w:r>
      <w:r>
        <w:t>on</w:t>
      </w:r>
      <w:r w:rsidR="006410E0">
        <w:t xml:space="preserve"> </w:t>
      </w:r>
      <w:r>
        <w:t>the</w:t>
      </w:r>
      <w:r w:rsidR="006410E0">
        <w:t xml:space="preserve"> </w:t>
      </w:r>
      <w:r>
        <w:t>maturity</w:t>
      </w:r>
      <w:r w:rsidR="006410E0">
        <w:t xml:space="preserve"> </w:t>
      </w:r>
      <w:r>
        <w:t>and</w:t>
      </w:r>
      <w:r w:rsidR="006410E0">
        <w:t xml:space="preserve"> </w:t>
      </w:r>
      <w:r>
        <w:t>issuer</w:t>
      </w:r>
      <w:r w:rsidR="006410E0">
        <w:t xml:space="preserve"> </w:t>
      </w:r>
      <w:r>
        <w:t>of</w:t>
      </w:r>
      <w:r w:rsidR="006410E0">
        <w:t xml:space="preserve"> </w:t>
      </w:r>
      <w:r>
        <w:t>the</w:t>
      </w:r>
      <w:r w:rsidR="006410E0">
        <w:t xml:space="preserve"> </w:t>
      </w:r>
      <w:r>
        <w:t>bonds.</w:t>
      </w:r>
      <w:r w:rsidR="006410E0">
        <w:t xml:space="preserve"> </w:t>
      </w:r>
      <w:r w:rsidR="006242EB">
        <w:t>One</w:t>
      </w:r>
      <w:r w:rsidR="006410E0">
        <w:t xml:space="preserve"> </w:t>
      </w:r>
      <w:r w:rsidR="006242EB">
        <w:t>of</w:t>
      </w:r>
      <w:r w:rsidR="006410E0">
        <w:t xml:space="preserve"> </w:t>
      </w:r>
      <w:r w:rsidR="006242EB">
        <w:t>the</w:t>
      </w:r>
      <w:r w:rsidR="006410E0">
        <w:t xml:space="preserve"> </w:t>
      </w:r>
      <w:r w:rsidR="006242EB">
        <w:t>easiest</w:t>
      </w:r>
      <w:r w:rsidR="006410E0">
        <w:t xml:space="preserve"> </w:t>
      </w:r>
      <w:r w:rsidR="006242EB">
        <w:t>places</w:t>
      </w:r>
      <w:r w:rsidR="006410E0">
        <w:t xml:space="preserve"> </w:t>
      </w:r>
      <w:r w:rsidR="006242EB">
        <w:t>to</w:t>
      </w:r>
      <w:r w:rsidR="006410E0">
        <w:t xml:space="preserve"> </w:t>
      </w:r>
      <w:r w:rsidR="006242EB">
        <w:t>find</w:t>
      </w:r>
      <w:r w:rsidR="006410E0">
        <w:t xml:space="preserve"> </w:t>
      </w:r>
      <w:r w:rsidR="006242EB">
        <w:t>the</w:t>
      </w:r>
      <w:r w:rsidR="006410E0">
        <w:t xml:space="preserve"> </w:t>
      </w:r>
      <w:r w:rsidR="006242EB">
        <w:t>Bond</w:t>
      </w:r>
      <w:r w:rsidR="006410E0">
        <w:t xml:space="preserve"> </w:t>
      </w:r>
      <w:r w:rsidR="006242EB">
        <w:t>Indexes</w:t>
      </w:r>
      <w:r w:rsidR="006410E0">
        <w:t xml:space="preserve"> </w:t>
      </w:r>
      <w:r w:rsidR="006242EB">
        <w:t>is</w:t>
      </w:r>
      <w:r w:rsidR="006410E0">
        <w:t xml:space="preserve"> </w:t>
      </w:r>
      <w:r w:rsidR="006242EB">
        <w:t>in</w:t>
      </w:r>
      <w:r w:rsidR="006410E0">
        <w:t xml:space="preserve"> </w:t>
      </w:r>
      <w:r w:rsidR="006242EB">
        <w:t>the</w:t>
      </w:r>
      <w:r w:rsidR="006410E0">
        <w:t xml:space="preserve"> </w:t>
      </w:r>
      <w:r w:rsidR="006242EB">
        <w:t>Interest</w:t>
      </w:r>
      <w:r w:rsidR="006410E0">
        <w:t xml:space="preserve"> </w:t>
      </w:r>
      <w:r w:rsidR="006242EB">
        <w:t>Rates</w:t>
      </w:r>
      <w:r w:rsidR="006410E0">
        <w:t xml:space="preserve"> </w:t>
      </w:r>
      <w:r w:rsidR="006242EB">
        <w:t>and</w:t>
      </w:r>
      <w:r w:rsidR="006410E0">
        <w:t xml:space="preserve"> </w:t>
      </w:r>
      <w:r w:rsidR="006242EB">
        <w:t>Bonds</w:t>
      </w:r>
      <w:r w:rsidR="006410E0">
        <w:t xml:space="preserve"> </w:t>
      </w:r>
      <w:r w:rsidR="006242EB">
        <w:t>section</w:t>
      </w:r>
      <w:r w:rsidR="006410E0">
        <w:t xml:space="preserve"> </w:t>
      </w:r>
      <w:r w:rsidR="006242EB">
        <w:t>of</w:t>
      </w:r>
      <w:r w:rsidR="006410E0">
        <w:t xml:space="preserve"> </w:t>
      </w:r>
      <w:r w:rsidR="006242EB">
        <w:t>the</w:t>
      </w:r>
      <w:r w:rsidR="006410E0">
        <w:t xml:space="preserve"> </w:t>
      </w:r>
      <w:r w:rsidR="006242EB">
        <w:t>Wall</w:t>
      </w:r>
      <w:r w:rsidR="006410E0">
        <w:t xml:space="preserve"> </w:t>
      </w:r>
      <w:r w:rsidR="006242EB">
        <w:t>Street</w:t>
      </w:r>
      <w:r w:rsidR="006410E0">
        <w:t xml:space="preserve"> </w:t>
      </w:r>
      <w:r w:rsidR="006242EB">
        <w:t>Journal.</w:t>
      </w:r>
      <w:r w:rsidR="006410E0">
        <w:t xml:space="preserve"> </w:t>
      </w:r>
      <w:r w:rsidR="006242EB">
        <w:t>The</w:t>
      </w:r>
      <w:r w:rsidR="006410E0">
        <w:t xml:space="preserve"> </w:t>
      </w:r>
      <w:r w:rsidR="006242EB">
        <w:t>major</w:t>
      </w:r>
      <w:r w:rsidR="006410E0">
        <w:t xml:space="preserve"> </w:t>
      </w:r>
      <w:r w:rsidR="006242EB">
        <w:t>Bond</w:t>
      </w:r>
      <w:r w:rsidR="006410E0">
        <w:t xml:space="preserve"> </w:t>
      </w:r>
      <w:r w:rsidR="006242EB">
        <w:t>Index</w:t>
      </w:r>
      <w:r w:rsidR="006410E0">
        <w:t xml:space="preserve"> </w:t>
      </w:r>
      <w:r w:rsidR="006242EB">
        <w:t>categories</w:t>
      </w:r>
      <w:r w:rsidR="006410E0">
        <w:t xml:space="preserve"> </w:t>
      </w:r>
      <w:proofErr w:type="gramStart"/>
      <w:r w:rsidR="006242EB">
        <w:t>are</w:t>
      </w:r>
      <w:r w:rsidR="006410E0">
        <w:t xml:space="preserve"> </w:t>
      </w:r>
      <w:r w:rsidR="006242EB">
        <w:t>listed</w:t>
      </w:r>
      <w:proofErr w:type="gramEnd"/>
      <w:r w:rsidR="006410E0">
        <w:t xml:space="preserve"> </w:t>
      </w:r>
      <w:r w:rsidR="006242EB">
        <w:t>below.</w:t>
      </w:r>
      <w:r w:rsidR="006410E0">
        <w:t xml:space="preserve"> </w:t>
      </w:r>
      <w:r w:rsidR="006242EB">
        <w:t>While</w:t>
      </w:r>
      <w:r w:rsidR="006410E0">
        <w:t xml:space="preserve"> </w:t>
      </w:r>
      <w:r>
        <w:t>some</w:t>
      </w:r>
      <w:r w:rsidR="006410E0">
        <w:t xml:space="preserve"> </w:t>
      </w:r>
      <w:r>
        <w:t>of</w:t>
      </w:r>
      <w:r w:rsidR="006410E0">
        <w:t xml:space="preserve"> </w:t>
      </w:r>
      <w:r w:rsidR="006242EB">
        <w:t>the</w:t>
      </w:r>
      <w:r w:rsidR="006410E0">
        <w:t xml:space="preserve"> </w:t>
      </w:r>
      <w:r w:rsidR="006242EB">
        <w:t>Lehman</w:t>
      </w:r>
      <w:r w:rsidR="006410E0">
        <w:t xml:space="preserve"> </w:t>
      </w:r>
      <w:r w:rsidR="006242EB">
        <w:t>Brother</w:t>
      </w:r>
      <w:r w:rsidR="006410E0">
        <w:t xml:space="preserve"> </w:t>
      </w:r>
      <w:r w:rsidR="006242EB">
        <w:t>indices</w:t>
      </w:r>
      <w:r w:rsidR="006410E0">
        <w:t xml:space="preserve"> </w:t>
      </w:r>
      <w:r w:rsidR="006242EB">
        <w:t>are</w:t>
      </w:r>
      <w:r w:rsidR="006410E0">
        <w:t xml:space="preserve"> </w:t>
      </w:r>
      <w:r w:rsidR="006242EB">
        <w:t>the</w:t>
      </w:r>
      <w:r w:rsidR="006410E0">
        <w:t xml:space="preserve"> </w:t>
      </w:r>
      <w:r w:rsidR="006242EB">
        <w:t>most</w:t>
      </w:r>
      <w:r w:rsidR="006410E0">
        <w:t xml:space="preserve"> </w:t>
      </w:r>
      <w:r w:rsidR="006242EB">
        <w:t>followed,</w:t>
      </w:r>
      <w:r w:rsidR="006410E0">
        <w:t xml:space="preserve"> </w:t>
      </w:r>
      <w:r w:rsidR="006242EB">
        <w:t>they</w:t>
      </w:r>
      <w:r w:rsidR="006410E0">
        <w:t xml:space="preserve"> </w:t>
      </w:r>
      <w:r w:rsidR="006242EB">
        <w:t>are</w:t>
      </w:r>
      <w:r w:rsidR="006410E0">
        <w:t xml:space="preserve"> </w:t>
      </w:r>
      <w:r w:rsidR="006242EB">
        <w:t>not</w:t>
      </w:r>
      <w:r w:rsidR="006410E0">
        <w:t xml:space="preserve"> </w:t>
      </w:r>
      <w:r w:rsidR="006242EB">
        <w:t>available</w:t>
      </w:r>
      <w:r w:rsidR="006410E0">
        <w:t xml:space="preserve"> </w:t>
      </w:r>
      <w:r w:rsidR="006242EB">
        <w:t>through</w:t>
      </w:r>
      <w:r w:rsidR="006410E0">
        <w:t xml:space="preserve"> </w:t>
      </w:r>
      <w:r w:rsidR="006242EB">
        <w:t>our</w:t>
      </w:r>
      <w:r w:rsidR="006410E0">
        <w:t xml:space="preserve"> </w:t>
      </w:r>
      <w:r w:rsidR="006242EB">
        <w:t>subscription</w:t>
      </w:r>
      <w:r w:rsidR="006410E0">
        <w:t xml:space="preserve"> </w:t>
      </w:r>
      <w:r w:rsidR="006242EB">
        <w:t>to</w:t>
      </w:r>
      <w:r w:rsidR="006410E0">
        <w:t xml:space="preserve"> </w:t>
      </w:r>
      <w:r w:rsidR="006242EB">
        <w:t>Bloomberg.</w:t>
      </w:r>
    </w:p>
    <w:p w:rsidR="006242EB" w:rsidRDefault="006242EB">
      <w:pPr>
        <w:widowControl w:val="0"/>
        <w:jc w:val="both"/>
      </w:pPr>
    </w:p>
    <w:p w:rsidR="006242EB" w:rsidRDefault="006242EB">
      <w:pPr>
        <w:widowControl w:val="0"/>
        <w:ind w:left="720"/>
      </w:pPr>
      <w:r>
        <w:rPr>
          <w:b/>
          <w:bCs/>
        </w:rPr>
        <w:t>US</w:t>
      </w:r>
      <w:r w:rsidR="006410E0">
        <w:rPr>
          <w:b/>
          <w:bCs/>
        </w:rPr>
        <w:t xml:space="preserve"> </w:t>
      </w:r>
      <w:r>
        <w:rPr>
          <w:b/>
          <w:bCs/>
        </w:rPr>
        <w:t>Treasury</w:t>
      </w:r>
      <w:r w:rsidR="006410E0">
        <w:rPr>
          <w:b/>
          <w:bCs/>
        </w:rPr>
        <w:t xml:space="preserve"> </w:t>
      </w:r>
      <w:r>
        <w:rPr>
          <w:b/>
          <w:bCs/>
        </w:rPr>
        <w:t>Securities</w:t>
      </w:r>
      <w:r w:rsidR="006410E0">
        <w:t xml:space="preserve"> </w:t>
      </w:r>
      <w:r>
        <w:t>from</w:t>
      </w:r>
      <w:r w:rsidR="006410E0">
        <w:t xml:space="preserve"> </w:t>
      </w:r>
      <w:r>
        <w:t>Lehman</w:t>
      </w:r>
      <w:r w:rsidR="006410E0">
        <w:t xml:space="preserve"> </w:t>
      </w:r>
      <w:r>
        <w:t>Brothers—see</w:t>
      </w:r>
      <w:r w:rsidR="006410E0">
        <w:t xml:space="preserve"> </w:t>
      </w:r>
      <w:r>
        <w:t>WSJ:</w:t>
      </w:r>
    </w:p>
    <w:p w:rsidR="00010D3B" w:rsidRPr="00010D3B" w:rsidRDefault="00010D3B">
      <w:pPr>
        <w:widowControl w:val="0"/>
        <w:ind w:left="720"/>
      </w:pPr>
      <w:r w:rsidRPr="00010D3B">
        <w:rPr>
          <w:bCs/>
        </w:rPr>
        <w:tab/>
        <w:t>Short-term</w:t>
      </w:r>
      <w:r w:rsidR="006410E0">
        <w:rPr>
          <w:bCs/>
        </w:rPr>
        <w:t xml:space="preserve"> </w:t>
      </w:r>
      <w:r w:rsidR="00FC3B18">
        <w:rPr>
          <w:bCs/>
        </w:rPr>
        <w:t>Treasury</w:t>
      </w:r>
      <w:r w:rsidR="006410E0">
        <w:rPr>
          <w:bCs/>
        </w:rPr>
        <w:t xml:space="preserve"> </w:t>
      </w:r>
      <w:r w:rsidR="00FC3B18">
        <w:rPr>
          <w:bCs/>
        </w:rPr>
        <w:t>(Lehman)</w:t>
      </w:r>
      <w:r w:rsidR="000038FF">
        <w:rPr>
          <w:bCs/>
        </w:rPr>
        <w:tab/>
      </w:r>
      <w:r w:rsidR="006410E0">
        <w:rPr>
          <w:bCs/>
        </w:rPr>
        <w:t xml:space="preserve"> </w:t>
      </w:r>
      <w:r w:rsidR="000C3FDF">
        <w:rPr>
          <w:bCs/>
        </w:rPr>
        <w:tab/>
      </w:r>
      <w:r>
        <w:rPr>
          <w:bCs/>
        </w:rPr>
        <w:t>GSUS13</w:t>
      </w:r>
    </w:p>
    <w:p w:rsidR="006242EB" w:rsidRDefault="006242EB">
      <w:pPr>
        <w:widowControl w:val="0"/>
        <w:ind w:left="1440"/>
      </w:pPr>
      <w:r>
        <w:t>Intermediate</w:t>
      </w:r>
      <w:r w:rsidR="006410E0">
        <w:t xml:space="preserve"> </w:t>
      </w:r>
      <w:r w:rsidR="00FC3B18">
        <w:rPr>
          <w:bCs/>
        </w:rPr>
        <w:t>Treasury</w:t>
      </w:r>
      <w:r w:rsidR="006410E0">
        <w:rPr>
          <w:bCs/>
        </w:rPr>
        <w:t xml:space="preserve"> </w:t>
      </w:r>
      <w:r w:rsidR="00FC3B18">
        <w:rPr>
          <w:bCs/>
        </w:rPr>
        <w:t>(Lehman)</w:t>
      </w:r>
      <w:r w:rsidR="000038FF">
        <w:tab/>
      </w:r>
      <w:r w:rsidR="000C3FDF">
        <w:tab/>
      </w:r>
      <w:r w:rsidR="006410E0">
        <w:t xml:space="preserve"> </w:t>
      </w:r>
      <w:r w:rsidR="00010D3B">
        <w:t>GSUS35</w:t>
      </w:r>
    </w:p>
    <w:p w:rsidR="006242EB" w:rsidRDefault="006242EB">
      <w:pPr>
        <w:widowControl w:val="0"/>
        <w:ind w:left="1440"/>
      </w:pPr>
      <w:r>
        <w:t>Long-term</w:t>
      </w:r>
      <w:r w:rsidR="006410E0">
        <w:t xml:space="preserve"> </w:t>
      </w:r>
      <w:r w:rsidR="00FC3B18">
        <w:rPr>
          <w:bCs/>
        </w:rPr>
        <w:t>Treasury</w:t>
      </w:r>
      <w:r w:rsidR="006410E0">
        <w:rPr>
          <w:bCs/>
        </w:rPr>
        <w:t xml:space="preserve"> </w:t>
      </w:r>
      <w:r w:rsidR="00FC3B18">
        <w:rPr>
          <w:bCs/>
        </w:rPr>
        <w:t>(Lehman)</w:t>
      </w:r>
      <w:r w:rsidR="000038FF">
        <w:tab/>
      </w:r>
      <w:r w:rsidR="000C3FDF">
        <w:tab/>
      </w:r>
      <w:r w:rsidR="006410E0">
        <w:t xml:space="preserve"> </w:t>
      </w:r>
      <w:r w:rsidR="00010D3B">
        <w:t>GSUS10+</w:t>
      </w:r>
    </w:p>
    <w:p w:rsidR="006242EB" w:rsidRDefault="006242EB">
      <w:pPr>
        <w:widowControl w:val="0"/>
        <w:ind w:left="1440"/>
      </w:pPr>
      <w:r>
        <w:t>Composite</w:t>
      </w:r>
      <w:r w:rsidR="006410E0">
        <w:t xml:space="preserve"> </w:t>
      </w:r>
      <w:r w:rsidR="00F15252">
        <w:rPr>
          <w:bCs/>
        </w:rPr>
        <w:t>Treasury</w:t>
      </w:r>
      <w:r w:rsidR="006410E0">
        <w:rPr>
          <w:bCs/>
        </w:rPr>
        <w:t xml:space="preserve"> </w:t>
      </w:r>
      <w:r w:rsidR="00F15252">
        <w:rPr>
          <w:bCs/>
        </w:rPr>
        <w:t>(Lehman)</w:t>
      </w:r>
      <w:r w:rsidR="000038FF">
        <w:tab/>
      </w:r>
      <w:r w:rsidR="006410E0">
        <w:t xml:space="preserve"> </w:t>
      </w:r>
      <w:r w:rsidR="000C3FDF">
        <w:tab/>
      </w:r>
      <w:r w:rsidR="00010D3B">
        <w:t>GSUSMN</w:t>
      </w:r>
    </w:p>
    <w:p w:rsidR="006242EB" w:rsidRDefault="006242EB">
      <w:pPr>
        <w:widowControl w:val="0"/>
        <w:ind w:left="1440"/>
      </w:pPr>
    </w:p>
    <w:p w:rsidR="006242EB" w:rsidRDefault="006242EB">
      <w:pPr>
        <w:widowControl w:val="0"/>
        <w:ind w:left="720"/>
      </w:pPr>
      <w:r>
        <w:rPr>
          <w:b/>
          <w:bCs/>
        </w:rPr>
        <w:t>Broad</w:t>
      </w:r>
      <w:r w:rsidR="006410E0">
        <w:rPr>
          <w:b/>
          <w:bCs/>
        </w:rPr>
        <w:t xml:space="preserve"> </w:t>
      </w:r>
      <w:r>
        <w:rPr>
          <w:b/>
          <w:bCs/>
        </w:rPr>
        <w:t>Market</w:t>
      </w:r>
      <w:r w:rsidR="006410E0">
        <w:rPr>
          <w:b/>
          <w:bCs/>
        </w:rPr>
        <w:t xml:space="preserve"> </w:t>
      </w:r>
      <w:r w:rsidR="00FC3B18">
        <w:rPr>
          <w:b/>
          <w:bCs/>
        </w:rPr>
        <w:t>(Corporate)</w:t>
      </w:r>
      <w:r>
        <w:t>:</w:t>
      </w:r>
    </w:p>
    <w:p w:rsidR="006242EB" w:rsidRDefault="006242EB">
      <w:pPr>
        <w:widowControl w:val="0"/>
        <w:ind w:left="1440"/>
      </w:pPr>
      <w:r>
        <w:t>US</w:t>
      </w:r>
      <w:r w:rsidR="006410E0">
        <w:t xml:space="preserve"> </w:t>
      </w:r>
      <w:r>
        <w:t>Aggregate</w:t>
      </w:r>
      <w:r w:rsidR="006410E0">
        <w:t xml:space="preserve"> </w:t>
      </w:r>
      <w:r w:rsidR="00FC3B18">
        <w:t>(Bank</w:t>
      </w:r>
      <w:r w:rsidR="006410E0">
        <w:t xml:space="preserve"> </w:t>
      </w:r>
      <w:r w:rsidR="00FC3B18">
        <w:t>of</w:t>
      </w:r>
      <w:r w:rsidR="006410E0">
        <w:t xml:space="preserve"> </w:t>
      </w:r>
      <w:r w:rsidR="00FC3B18">
        <w:t>America)</w:t>
      </w:r>
      <w:r w:rsidR="000038FF">
        <w:tab/>
      </w:r>
      <w:r w:rsidR="006410E0">
        <w:t xml:space="preserve"> </w:t>
      </w:r>
      <w:r w:rsidR="000C3FDF">
        <w:tab/>
      </w:r>
      <w:r>
        <w:t>BACSBMRT</w:t>
      </w:r>
    </w:p>
    <w:p w:rsidR="00FC3B18" w:rsidRDefault="00FC3B18">
      <w:pPr>
        <w:widowControl w:val="0"/>
        <w:ind w:left="1440"/>
      </w:pPr>
      <w:r>
        <w:t>US</w:t>
      </w:r>
      <w:r w:rsidR="006410E0">
        <w:t xml:space="preserve"> </w:t>
      </w:r>
      <w:r>
        <w:t>Corporate</w:t>
      </w:r>
      <w:r w:rsidR="006410E0">
        <w:t xml:space="preserve"> </w:t>
      </w:r>
      <w:r>
        <w:t>(Credit</w:t>
      </w:r>
      <w:r w:rsidR="006410E0">
        <w:t xml:space="preserve"> </w:t>
      </w:r>
      <w:r>
        <w:t>Suisse)</w:t>
      </w:r>
      <w:r>
        <w:tab/>
      </w:r>
      <w:r>
        <w:tab/>
      </w:r>
      <w:r>
        <w:tab/>
        <w:t>LUCI</w:t>
      </w:r>
    </w:p>
    <w:p w:rsidR="00FC3B18" w:rsidRDefault="00FC3B18">
      <w:pPr>
        <w:widowControl w:val="0"/>
        <w:ind w:left="1440"/>
      </w:pPr>
      <w:r>
        <w:t>US</w:t>
      </w:r>
      <w:r w:rsidR="006410E0">
        <w:t xml:space="preserve"> </w:t>
      </w:r>
      <w:r>
        <w:t>Investment</w:t>
      </w:r>
      <w:r w:rsidR="006410E0">
        <w:t xml:space="preserve"> </w:t>
      </w:r>
      <w:r>
        <w:t>Grade</w:t>
      </w:r>
      <w:r w:rsidR="006410E0">
        <w:t xml:space="preserve"> </w:t>
      </w:r>
      <w:r>
        <w:t>(Citigroup)</w:t>
      </w:r>
      <w:r>
        <w:tab/>
      </w:r>
      <w:r>
        <w:tab/>
        <w:t>USBIG</w:t>
      </w:r>
    </w:p>
    <w:p w:rsidR="006242EB" w:rsidRDefault="006242EB">
      <w:pPr>
        <w:widowControl w:val="0"/>
        <w:ind w:left="720"/>
      </w:pPr>
    </w:p>
    <w:p w:rsidR="006242EB" w:rsidRDefault="00FC3B18">
      <w:pPr>
        <w:widowControl w:val="0"/>
        <w:ind w:left="720"/>
      </w:pPr>
      <w:r>
        <w:rPr>
          <w:b/>
          <w:bCs/>
        </w:rPr>
        <w:t>High</w:t>
      </w:r>
      <w:r w:rsidR="006410E0">
        <w:rPr>
          <w:b/>
          <w:bCs/>
        </w:rPr>
        <w:t xml:space="preserve"> </w:t>
      </w:r>
      <w:r>
        <w:rPr>
          <w:b/>
          <w:bCs/>
        </w:rPr>
        <w:t>Yield</w:t>
      </w:r>
      <w:r w:rsidR="006410E0">
        <w:rPr>
          <w:b/>
          <w:bCs/>
        </w:rPr>
        <w:t xml:space="preserve"> </w:t>
      </w:r>
      <w:r>
        <w:rPr>
          <w:b/>
          <w:bCs/>
        </w:rPr>
        <w:t>and</w:t>
      </w:r>
      <w:r w:rsidR="006410E0">
        <w:rPr>
          <w:b/>
          <w:bCs/>
        </w:rPr>
        <w:t xml:space="preserve"> </w:t>
      </w:r>
      <w:r>
        <w:rPr>
          <w:b/>
          <w:bCs/>
        </w:rPr>
        <w:t>Yankee</w:t>
      </w:r>
      <w:r w:rsidR="006410E0">
        <w:rPr>
          <w:b/>
          <w:bCs/>
        </w:rPr>
        <w:t xml:space="preserve"> </w:t>
      </w:r>
      <w:r>
        <w:rPr>
          <w:b/>
          <w:bCs/>
        </w:rPr>
        <w:t>Bonds</w:t>
      </w:r>
    </w:p>
    <w:p w:rsidR="006242EB" w:rsidRDefault="006242EB">
      <w:pPr>
        <w:widowControl w:val="0"/>
        <w:ind w:left="1440"/>
      </w:pPr>
      <w:r>
        <w:t>High</w:t>
      </w:r>
      <w:r w:rsidR="006410E0">
        <w:t xml:space="preserve"> </w:t>
      </w:r>
      <w:r>
        <w:t>Yield</w:t>
      </w:r>
      <w:r w:rsidR="006410E0">
        <w:t xml:space="preserve"> </w:t>
      </w:r>
      <w:r w:rsidR="00FC3B18">
        <w:t>(Salomon</w:t>
      </w:r>
      <w:r w:rsidR="006410E0">
        <w:t xml:space="preserve"> </w:t>
      </w:r>
      <w:r w:rsidR="00FC3B18">
        <w:t>Smith</w:t>
      </w:r>
      <w:r w:rsidR="006410E0">
        <w:t xml:space="preserve"> </w:t>
      </w:r>
      <w:r w:rsidR="00FC3B18">
        <w:t>Barney)</w:t>
      </w:r>
      <w:r w:rsidR="000038FF">
        <w:tab/>
      </w:r>
      <w:r w:rsidR="000C3FDF">
        <w:tab/>
      </w:r>
      <w:r>
        <w:t>SBI</w:t>
      </w:r>
    </w:p>
    <w:p w:rsidR="006242EB" w:rsidRDefault="006242EB">
      <w:pPr>
        <w:widowControl w:val="0"/>
        <w:ind w:left="1440"/>
      </w:pPr>
      <w:r>
        <w:t>Yankee</w:t>
      </w:r>
      <w:r w:rsidR="006410E0">
        <w:t xml:space="preserve"> </w:t>
      </w:r>
      <w:r>
        <w:t>Bonds</w:t>
      </w:r>
      <w:r w:rsidR="006410E0">
        <w:t xml:space="preserve"> </w:t>
      </w:r>
      <w:r w:rsidR="00FC3B18">
        <w:t>(Salomon</w:t>
      </w:r>
      <w:r w:rsidR="006410E0">
        <w:t xml:space="preserve"> </w:t>
      </w:r>
      <w:r w:rsidR="00FC3B18">
        <w:t>Smith</w:t>
      </w:r>
      <w:r w:rsidR="006410E0">
        <w:t xml:space="preserve"> </w:t>
      </w:r>
      <w:r w:rsidR="00FC3B18">
        <w:t>Barney)</w:t>
      </w:r>
      <w:r w:rsidR="000C3FDF">
        <w:tab/>
      </w:r>
      <w:r>
        <w:t>SBCYSY</w:t>
      </w:r>
    </w:p>
    <w:p w:rsidR="009B129D" w:rsidRDefault="009B129D" w:rsidP="009B129D">
      <w:pPr>
        <w:widowControl w:val="0"/>
        <w:ind w:left="1440"/>
      </w:pPr>
      <w:r>
        <w:t>SSMB</w:t>
      </w:r>
      <w:r w:rsidR="006410E0">
        <w:t xml:space="preserve"> </w:t>
      </w:r>
      <w:r>
        <w:t>Index</w:t>
      </w:r>
      <w:r w:rsidR="006410E0">
        <w:t xml:space="preserve"> </w:t>
      </w:r>
      <w:r>
        <w:t>(Salomon</w:t>
      </w:r>
      <w:r w:rsidR="006410E0">
        <w:t xml:space="preserve"> </w:t>
      </w:r>
      <w:r>
        <w:t>Smith</w:t>
      </w:r>
      <w:r w:rsidR="006410E0">
        <w:t xml:space="preserve"> </w:t>
      </w:r>
      <w:r>
        <w:t>Barney)</w:t>
      </w:r>
      <w:r w:rsidR="006410E0">
        <w:t xml:space="preserve"> </w:t>
      </w:r>
      <w:r>
        <w:tab/>
        <w:t>SSBHYIND</w:t>
      </w:r>
    </w:p>
    <w:p w:rsidR="006242EB" w:rsidRDefault="006242EB">
      <w:pPr>
        <w:widowControl w:val="0"/>
        <w:ind w:left="720"/>
        <w:rPr>
          <w:b/>
          <w:bCs/>
        </w:rPr>
      </w:pPr>
    </w:p>
    <w:p w:rsidR="006242EB" w:rsidRDefault="006242EB">
      <w:pPr>
        <w:widowControl w:val="0"/>
        <w:ind w:left="720"/>
      </w:pPr>
      <w:r>
        <w:rPr>
          <w:b/>
          <w:bCs/>
        </w:rPr>
        <w:t>Mortgage</w:t>
      </w:r>
      <w:r w:rsidR="006410E0">
        <w:rPr>
          <w:b/>
          <w:bCs/>
        </w:rPr>
        <w:t xml:space="preserve"> </w:t>
      </w:r>
      <w:r>
        <w:rPr>
          <w:b/>
          <w:bCs/>
        </w:rPr>
        <w:t>Backed</w:t>
      </w:r>
      <w:r w:rsidR="006410E0">
        <w:rPr>
          <w:b/>
          <w:bCs/>
        </w:rPr>
        <w:t xml:space="preserve"> </w:t>
      </w:r>
      <w:r>
        <w:rPr>
          <w:b/>
          <w:bCs/>
        </w:rPr>
        <w:t>Securities</w:t>
      </w:r>
      <w:r>
        <w:t>:</w:t>
      </w:r>
    </w:p>
    <w:p w:rsidR="006242EB" w:rsidRDefault="006242EB">
      <w:pPr>
        <w:widowControl w:val="0"/>
        <w:ind w:left="1440"/>
      </w:pPr>
      <w:r>
        <w:t>Ginnie</w:t>
      </w:r>
      <w:r w:rsidR="006410E0">
        <w:t xml:space="preserve"> </w:t>
      </w:r>
      <w:r>
        <w:t>Mae</w:t>
      </w:r>
      <w:r w:rsidR="006410E0">
        <w:t xml:space="preserve"> </w:t>
      </w:r>
      <w:r w:rsidR="000038FF">
        <w:tab/>
      </w:r>
      <w:r w:rsidR="000038FF">
        <w:tab/>
      </w:r>
      <w:r w:rsidR="000038FF">
        <w:tab/>
      </w:r>
      <w:r w:rsidR="000038FF">
        <w:tab/>
      </w:r>
      <w:r w:rsidR="000C3FDF">
        <w:tab/>
      </w:r>
      <w:r>
        <w:t>BGGNMA</w:t>
      </w:r>
    </w:p>
    <w:p w:rsidR="006242EB" w:rsidRDefault="006242EB">
      <w:pPr>
        <w:widowControl w:val="0"/>
        <w:ind w:left="1440"/>
      </w:pPr>
      <w:r>
        <w:t>Fannie</w:t>
      </w:r>
      <w:r w:rsidR="006410E0">
        <w:t xml:space="preserve"> </w:t>
      </w:r>
      <w:r>
        <w:t>Mae</w:t>
      </w:r>
      <w:r w:rsidR="006410E0">
        <w:t xml:space="preserve"> </w:t>
      </w:r>
      <w:r w:rsidR="000038FF">
        <w:tab/>
      </w:r>
      <w:r w:rsidR="000038FF">
        <w:tab/>
      </w:r>
      <w:r w:rsidR="000038FF">
        <w:tab/>
      </w:r>
      <w:r w:rsidR="000038FF">
        <w:tab/>
      </w:r>
      <w:r w:rsidR="000C3FDF">
        <w:tab/>
      </w:r>
      <w:r>
        <w:t>MTGIFNTR</w:t>
      </w:r>
    </w:p>
    <w:p w:rsidR="006242EB" w:rsidRDefault="006242EB">
      <w:pPr>
        <w:widowControl w:val="0"/>
        <w:ind w:left="1440"/>
      </w:pPr>
      <w:r>
        <w:t>Freddie</w:t>
      </w:r>
      <w:r w:rsidR="006410E0">
        <w:t xml:space="preserve"> </w:t>
      </w:r>
      <w:r>
        <w:t>Mac</w:t>
      </w:r>
      <w:r w:rsidR="006410E0">
        <w:t xml:space="preserve"> </w:t>
      </w:r>
      <w:r w:rsidR="000038FF">
        <w:tab/>
      </w:r>
      <w:r w:rsidR="000038FF">
        <w:tab/>
      </w:r>
      <w:r w:rsidR="000038FF">
        <w:tab/>
      </w:r>
      <w:r w:rsidR="000038FF">
        <w:tab/>
      </w:r>
      <w:r w:rsidR="000C3FDF">
        <w:tab/>
      </w:r>
      <w:r>
        <w:t>MTGIFHTR</w:t>
      </w:r>
    </w:p>
    <w:p w:rsidR="009B129D" w:rsidRDefault="009B129D">
      <w:pPr>
        <w:widowControl w:val="0"/>
        <w:ind w:left="720"/>
        <w:rPr>
          <w:b/>
          <w:bCs/>
        </w:rPr>
      </w:pPr>
    </w:p>
    <w:p w:rsidR="006242EB" w:rsidRDefault="006242EB">
      <w:pPr>
        <w:widowControl w:val="0"/>
        <w:ind w:left="720"/>
        <w:rPr>
          <w:b/>
          <w:bCs/>
        </w:rPr>
      </w:pPr>
      <w:r>
        <w:rPr>
          <w:b/>
          <w:bCs/>
        </w:rPr>
        <w:t>Municipals:</w:t>
      </w:r>
    </w:p>
    <w:p w:rsidR="006242EB" w:rsidRDefault="006242EB">
      <w:pPr>
        <w:widowControl w:val="0"/>
        <w:ind w:left="1440"/>
      </w:pPr>
      <w:r>
        <w:t>Bond</w:t>
      </w:r>
      <w:r w:rsidR="006410E0">
        <w:t xml:space="preserve"> </w:t>
      </w:r>
      <w:r>
        <w:t>Buyer</w:t>
      </w:r>
      <w:r w:rsidR="006410E0">
        <w:t xml:space="preserve"> </w:t>
      </w:r>
      <w:r>
        <w:t>Muni</w:t>
      </w:r>
      <w:r w:rsidR="006410E0">
        <w:t xml:space="preserve"> </w:t>
      </w:r>
      <w:r w:rsidR="000038FF">
        <w:tab/>
      </w:r>
      <w:r w:rsidR="000038FF">
        <w:tab/>
      </w:r>
      <w:r w:rsidR="000038FF">
        <w:tab/>
      </w:r>
      <w:r w:rsidR="000C3FDF">
        <w:tab/>
      </w:r>
      <w:r>
        <w:t>BBWK1YR</w:t>
      </w:r>
    </w:p>
    <w:p w:rsidR="006242EB" w:rsidRDefault="006242EB">
      <w:pPr>
        <w:widowControl w:val="0"/>
        <w:ind w:left="1440"/>
      </w:pPr>
      <w:r>
        <w:t>10</w:t>
      </w:r>
      <w:r w:rsidR="006410E0">
        <w:t xml:space="preserve"> </w:t>
      </w:r>
      <w:r>
        <w:t>Year</w:t>
      </w:r>
      <w:r w:rsidR="006410E0">
        <w:t xml:space="preserve"> </w:t>
      </w:r>
      <w:r>
        <w:t>General</w:t>
      </w:r>
      <w:r w:rsidR="006410E0">
        <w:t xml:space="preserve"> </w:t>
      </w:r>
      <w:r>
        <w:t>Obligation</w:t>
      </w:r>
      <w:r w:rsidR="006410E0">
        <w:t xml:space="preserve"> </w:t>
      </w:r>
      <w:r w:rsidR="000038FF">
        <w:tab/>
      </w:r>
      <w:r w:rsidR="000038FF">
        <w:tab/>
      </w:r>
      <w:r w:rsidR="000C3FDF">
        <w:tab/>
      </w:r>
      <w:r>
        <w:t>BBWK11GO</w:t>
      </w:r>
    </w:p>
    <w:p w:rsidR="006242EB" w:rsidRDefault="006242EB">
      <w:pPr>
        <w:widowControl w:val="0"/>
        <w:ind w:left="1440"/>
      </w:pPr>
      <w:r>
        <w:t>10-20</w:t>
      </w:r>
      <w:r w:rsidR="006410E0">
        <w:t xml:space="preserve"> </w:t>
      </w:r>
      <w:r>
        <w:t>Year</w:t>
      </w:r>
      <w:r w:rsidR="006410E0">
        <w:t xml:space="preserve"> </w:t>
      </w:r>
      <w:r>
        <w:t>General</w:t>
      </w:r>
      <w:r w:rsidR="006410E0">
        <w:t xml:space="preserve"> </w:t>
      </w:r>
      <w:r>
        <w:t>Obligation</w:t>
      </w:r>
      <w:r w:rsidR="006410E0">
        <w:t xml:space="preserve"> </w:t>
      </w:r>
      <w:r w:rsidR="000038FF">
        <w:tab/>
      </w:r>
      <w:r w:rsidR="000C3FDF">
        <w:tab/>
      </w:r>
      <w:r>
        <w:t>BBWK20GO</w:t>
      </w:r>
    </w:p>
    <w:p w:rsidR="006242EB" w:rsidRDefault="006242EB">
      <w:pPr>
        <w:widowControl w:val="0"/>
        <w:ind w:left="1440"/>
      </w:pPr>
      <w:r>
        <w:t>Revenue</w:t>
      </w:r>
      <w:r w:rsidR="006410E0">
        <w:t xml:space="preserve"> </w:t>
      </w:r>
      <w:r>
        <w:t>Bonds</w:t>
      </w:r>
      <w:r w:rsidR="006410E0">
        <w:t xml:space="preserve"> </w:t>
      </w:r>
      <w:r w:rsidR="000038FF">
        <w:tab/>
      </w:r>
      <w:r w:rsidR="000038FF">
        <w:tab/>
      </w:r>
      <w:r w:rsidR="000038FF">
        <w:tab/>
      </w:r>
      <w:r w:rsidR="000C3FDF">
        <w:tab/>
      </w:r>
      <w:r>
        <w:t>BBWK2025RV</w:t>
      </w:r>
    </w:p>
    <w:p w:rsidR="006242EB" w:rsidRDefault="006242EB">
      <w:pPr>
        <w:widowControl w:val="0"/>
        <w:ind w:left="720"/>
        <w:rPr>
          <w:b/>
          <w:bCs/>
        </w:rPr>
      </w:pPr>
    </w:p>
    <w:p w:rsidR="006242EB" w:rsidRDefault="006242EB">
      <w:pPr>
        <w:widowControl w:val="0"/>
        <w:rPr>
          <w:b/>
          <w:bCs/>
        </w:rPr>
      </w:pPr>
      <w:r>
        <w:rPr>
          <w:b/>
          <w:bCs/>
        </w:rPr>
        <w:t>Real</w:t>
      </w:r>
      <w:r w:rsidR="006410E0">
        <w:rPr>
          <w:b/>
          <w:bCs/>
        </w:rPr>
        <w:t xml:space="preserve"> </w:t>
      </w:r>
      <w:r>
        <w:rPr>
          <w:b/>
          <w:bCs/>
        </w:rPr>
        <w:t>Estate</w:t>
      </w:r>
      <w:r w:rsidR="006410E0">
        <w:rPr>
          <w:b/>
          <w:bCs/>
        </w:rPr>
        <w:t xml:space="preserve"> </w:t>
      </w:r>
      <w:r>
        <w:rPr>
          <w:b/>
          <w:bCs/>
        </w:rPr>
        <w:t>Benchmarks</w:t>
      </w:r>
    </w:p>
    <w:p w:rsidR="006242EB" w:rsidRDefault="006242EB">
      <w:pPr>
        <w:widowControl w:val="0"/>
      </w:pPr>
      <w:r>
        <w:t>Real</w:t>
      </w:r>
      <w:r w:rsidR="006410E0">
        <w:t xml:space="preserve"> </w:t>
      </w:r>
      <w:r>
        <w:t>estate</w:t>
      </w:r>
      <w:r w:rsidR="006410E0">
        <w:t xml:space="preserve"> </w:t>
      </w:r>
      <w:r>
        <w:t>is</w:t>
      </w:r>
      <w:r w:rsidR="006410E0">
        <w:t xml:space="preserve"> </w:t>
      </w:r>
      <w:r>
        <w:t>a</w:t>
      </w:r>
      <w:r w:rsidR="006410E0">
        <w:t xml:space="preserve"> </w:t>
      </w:r>
      <w:r>
        <w:t>difficult</w:t>
      </w:r>
      <w:r w:rsidR="006410E0">
        <w:t xml:space="preserve"> </w:t>
      </w:r>
      <w:r>
        <w:t>asset</w:t>
      </w:r>
      <w:r w:rsidR="006410E0">
        <w:t xml:space="preserve"> </w:t>
      </w:r>
      <w:r>
        <w:t>class</w:t>
      </w:r>
      <w:r w:rsidR="006410E0">
        <w:t xml:space="preserve"> </w:t>
      </w:r>
      <w:r>
        <w:t>to</w:t>
      </w:r>
      <w:r w:rsidR="006410E0">
        <w:t xml:space="preserve"> </w:t>
      </w:r>
      <w:r>
        <w:t>cover.</w:t>
      </w:r>
      <w:r w:rsidR="006410E0">
        <w:t xml:space="preserve"> </w:t>
      </w:r>
      <w:r>
        <w:t>An</w:t>
      </w:r>
      <w:r w:rsidR="006410E0">
        <w:t xml:space="preserve"> </w:t>
      </w:r>
      <w:r>
        <w:t>easier</w:t>
      </w:r>
      <w:r w:rsidR="006410E0">
        <w:t xml:space="preserve"> </w:t>
      </w:r>
      <w:r>
        <w:t>way</w:t>
      </w:r>
      <w:r w:rsidR="006410E0">
        <w:t xml:space="preserve"> </w:t>
      </w:r>
      <w:r>
        <w:t>to</w:t>
      </w:r>
      <w:r w:rsidR="006410E0">
        <w:t xml:space="preserve"> </w:t>
      </w:r>
      <w:r>
        <w:t>gain</w:t>
      </w:r>
      <w:r w:rsidR="006410E0">
        <w:t xml:space="preserve"> </w:t>
      </w:r>
      <w:r>
        <w:t>access</w:t>
      </w:r>
      <w:r w:rsidR="006410E0">
        <w:t xml:space="preserve"> </w:t>
      </w:r>
      <w:r>
        <w:t>to</w:t>
      </w:r>
      <w:r w:rsidR="006410E0">
        <w:t xml:space="preserve"> </w:t>
      </w:r>
      <w:r>
        <w:t>this</w:t>
      </w:r>
      <w:r w:rsidR="006410E0">
        <w:t xml:space="preserve"> </w:t>
      </w:r>
      <w:r>
        <w:t>asset</w:t>
      </w:r>
      <w:r w:rsidR="006410E0">
        <w:t xml:space="preserve"> </w:t>
      </w:r>
      <w:r>
        <w:t>class</w:t>
      </w:r>
      <w:r w:rsidR="006410E0">
        <w:t xml:space="preserve"> </w:t>
      </w:r>
      <w:r>
        <w:t>is</w:t>
      </w:r>
      <w:r w:rsidR="006410E0">
        <w:t xml:space="preserve"> </w:t>
      </w:r>
      <w:r>
        <w:t>through</w:t>
      </w:r>
      <w:r w:rsidR="006410E0">
        <w:t xml:space="preserve"> </w:t>
      </w:r>
      <w:r>
        <w:t>Real</w:t>
      </w:r>
      <w:r w:rsidR="006410E0">
        <w:t xml:space="preserve"> </w:t>
      </w:r>
      <w:r>
        <w:t>estate</w:t>
      </w:r>
      <w:r w:rsidR="006410E0">
        <w:t xml:space="preserve"> </w:t>
      </w:r>
      <w:r>
        <w:t>investment</w:t>
      </w:r>
      <w:r w:rsidR="006410E0">
        <w:t xml:space="preserve"> </w:t>
      </w:r>
      <w:r>
        <w:t>trusts</w:t>
      </w:r>
      <w:r w:rsidR="006410E0">
        <w:t xml:space="preserve"> </w:t>
      </w:r>
      <w:r>
        <w:t>or</w:t>
      </w:r>
      <w:r w:rsidR="006410E0">
        <w:t xml:space="preserve"> </w:t>
      </w:r>
      <w:r>
        <w:t>REITs.</w:t>
      </w:r>
      <w:r w:rsidR="006410E0">
        <w:t xml:space="preserve"> </w:t>
      </w:r>
      <w:r w:rsidR="00E900FD">
        <w:t>Generally,</w:t>
      </w:r>
      <w:r w:rsidR="006410E0">
        <w:t xml:space="preserve"> </w:t>
      </w:r>
      <w:r w:rsidR="00E900FD">
        <w:t>most</w:t>
      </w:r>
      <w:r w:rsidR="006410E0">
        <w:t xml:space="preserve"> </w:t>
      </w:r>
      <w:r w:rsidR="00E900FD">
        <w:t>real</w:t>
      </w:r>
      <w:r w:rsidR="006410E0">
        <w:t xml:space="preserve"> </w:t>
      </w:r>
      <w:r w:rsidR="00E900FD">
        <w:t>estate</w:t>
      </w:r>
      <w:r w:rsidR="006410E0">
        <w:t xml:space="preserve"> </w:t>
      </w:r>
      <w:r w:rsidR="00E900FD">
        <w:t>benchmarks</w:t>
      </w:r>
      <w:r w:rsidR="006410E0">
        <w:t xml:space="preserve"> </w:t>
      </w:r>
      <w:r w:rsidR="00E900FD">
        <w:t>are</w:t>
      </w:r>
      <w:r w:rsidR="006410E0">
        <w:t xml:space="preserve"> </w:t>
      </w:r>
      <w:r w:rsidR="00E900FD">
        <w:t>benchmarks</w:t>
      </w:r>
      <w:r w:rsidR="006410E0">
        <w:t xml:space="preserve"> </w:t>
      </w:r>
      <w:r w:rsidR="00E900FD">
        <w:t>of</w:t>
      </w:r>
      <w:r w:rsidR="006410E0">
        <w:t xml:space="preserve"> </w:t>
      </w:r>
      <w:r w:rsidR="00E900FD">
        <w:t>Real</w:t>
      </w:r>
      <w:r w:rsidR="006410E0">
        <w:t xml:space="preserve"> </w:t>
      </w:r>
      <w:r w:rsidR="00E900FD">
        <w:t>Estate</w:t>
      </w:r>
      <w:r w:rsidR="006410E0">
        <w:t xml:space="preserve"> </w:t>
      </w:r>
      <w:r w:rsidR="00E900FD">
        <w:t>Investment</w:t>
      </w:r>
      <w:r w:rsidR="006410E0">
        <w:t xml:space="preserve"> </w:t>
      </w:r>
      <w:r w:rsidR="00E900FD">
        <w:t>Trusts.</w:t>
      </w:r>
    </w:p>
    <w:p w:rsidR="002C4DA1" w:rsidRDefault="002C4DA1">
      <w:pPr>
        <w:widowControl w:val="0"/>
        <w:ind w:left="720"/>
        <w:rPr>
          <w:b/>
          <w:bCs/>
        </w:rPr>
      </w:pPr>
    </w:p>
    <w:p w:rsidR="006242EB" w:rsidRDefault="006242EB">
      <w:pPr>
        <w:widowControl w:val="0"/>
        <w:ind w:left="720"/>
      </w:pPr>
      <w:r>
        <w:rPr>
          <w:b/>
          <w:bCs/>
        </w:rPr>
        <w:t>Real</w:t>
      </w:r>
      <w:r w:rsidR="006410E0">
        <w:rPr>
          <w:b/>
          <w:bCs/>
        </w:rPr>
        <w:t xml:space="preserve"> </w:t>
      </w:r>
      <w:r>
        <w:rPr>
          <w:b/>
          <w:bCs/>
        </w:rPr>
        <w:t>Estate</w:t>
      </w:r>
      <w:r w:rsidR="006410E0">
        <w:rPr>
          <w:b/>
          <w:bCs/>
        </w:rPr>
        <w:t xml:space="preserve"> </w:t>
      </w:r>
      <w:r>
        <w:rPr>
          <w:b/>
          <w:bCs/>
        </w:rPr>
        <w:t>Investment</w:t>
      </w:r>
      <w:r w:rsidR="006410E0">
        <w:rPr>
          <w:b/>
          <w:bCs/>
        </w:rPr>
        <w:t xml:space="preserve"> </w:t>
      </w:r>
      <w:r>
        <w:rPr>
          <w:b/>
          <w:bCs/>
        </w:rPr>
        <w:t>Trusts:</w:t>
      </w:r>
    </w:p>
    <w:p w:rsidR="006242EB" w:rsidRDefault="006242EB">
      <w:pPr>
        <w:widowControl w:val="0"/>
        <w:ind w:left="1440"/>
      </w:pPr>
      <w:r>
        <w:t>Dow</w:t>
      </w:r>
      <w:r w:rsidR="006410E0">
        <w:t xml:space="preserve"> </w:t>
      </w:r>
      <w:r>
        <w:t>Jones</w:t>
      </w:r>
      <w:r w:rsidR="006410E0">
        <w:t xml:space="preserve"> </w:t>
      </w:r>
      <w:r>
        <w:t>Equity</w:t>
      </w:r>
      <w:r w:rsidR="006410E0">
        <w:t xml:space="preserve"> </w:t>
      </w:r>
      <w:r>
        <w:t>REIT</w:t>
      </w:r>
      <w:r w:rsidR="006410E0">
        <w:t xml:space="preserve"> </w:t>
      </w:r>
      <w:r w:rsidR="000038FF">
        <w:tab/>
      </w:r>
      <w:r w:rsidR="000038FF">
        <w:tab/>
      </w:r>
      <w:r w:rsidR="000C3FDF">
        <w:tab/>
      </w:r>
      <w:r>
        <w:t>RCIT</w:t>
      </w:r>
    </w:p>
    <w:p w:rsidR="006242EB" w:rsidRDefault="006242EB">
      <w:pPr>
        <w:widowControl w:val="0"/>
        <w:ind w:left="1440"/>
      </w:pPr>
      <w:r>
        <w:t>Bloomberg</w:t>
      </w:r>
      <w:r w:rsidR="006410E0">
        <w:t xml:space="preserve"> </w:t>
      </w:r>
      <w:r>
        <w:t>REIT</w:t>
      </w:r>
      <w:r w:rsidR="006410E0">
        <w:t xml:space="preserve"> </w:t>
      </w:r>
      <w:r>
        <w:t>Index</w:t>
      </w:r>
      <w:r w:rsidR="006410E0">
        <w:t xml:space="preserve"> </w:t>
      </w:r>
      <w:r w:rsidR="000038FF">
        <w:tab/>
      </w:r>
      <w:r w:rsidR="000038FF">
        <w:tab/>
      </w:r>
      <w:r w:rsidR="000C3FDF">
        <w:tab/>
      </w:r>
      <w:r>
        <w:t>BBREIT</w:t>
      </w:r>
    </w:p>
    <w:p w:rsidR="006242EB" w:rsidRDefault="003A234E" w:rsidP="000601DD">
      <w:pPr>
        <w:widowControl w:val="0"/>
        <w:ind w:left="1440"/>
      </w:pPr>
      <w:r>
        <w:t>S&amp;P</w:t>
      </w:r>
      <w:r w:rsidR="006410E0">
        <w:t xml:space="preserve"> </w:t>
      </w:r>
      <w:r>
        <w:t>REIT</w:t>
      </w:r>
      <w:r w:rsidR="006410E0">
        <w:t xml:space="preserve"> </w:t>
      </w:r>
      <w:r>
        <w:t>Index</w:t>
      </w:r>
      <w:r w:rsidR="006410E0">
        <w:t xml:space="preserve">  </w:t>
      </w:r>
      <w:r w:rsidR="000038FF">
        <w:tab/>
      </w:r>
      <w:r w:rsidR="000038FF">
        <w:tab/>
      </w:r>
      <w:r w:rsidR="000038FF">
        <w:tab/>
      </w:r>
      <w:r w:rsidR="000C3FDF">
        <w:tab/>
      </w:r>
      <w:r>
        <w:t>SPREIT</w:t>
      </w:r>
    </w:p>
    <w:p w:rsidR="006242EB" w:rsidRDefault="009B129D">
      <w:pPr>
        <w:widowControl w:val="0"/>
      </w:pPr>
      <w:r>
        <w:tab/>
      </w:r>
      <w:r>
        <w:tab/>
        <w:t>MSCI</w:t>
      </w:r>
      <w:r w:rsidR="006410E0">
        <w:t xml:space="preserve"> </w:t>
      </w:r>
      <w:r>
        <w:t>US</w:t>
      </w:r>
      <w:r w:rsidR="006410E0">
        <w:t xml:space="preserve"> </w:t>
      </w:r>
      <w:r>
        <w:t>REIT</w:t>
      </w:r>
      <w:r>
        <w:tab/>
      </w:r>
      <w:r>
        <w:tab/>
      </w:r>
      <w:r>
        <w:tab/>
      </w:r>
      <w:r>
        <w:tab/>
        <w:t>RMS</w:t>
      </w:r>
    </w:p>
    <w:p w:rsidR="006242EB" w:rsidRDefault="006242EB">
      <w:pPr>
        <w:widowControl w:val="0"/>
      </w:pPr>
    </w:p>
    <w:p w:rsidR="00AA48D2" w:rsidRDefault="00AA48D2">
      <w:pPr>
        <w:widowControl w:val="0"/>
      </w:pPr>
    </w:p>
    <w:p w:rsidR="00AA48D2" w:rsidRPr="00351F3E" w:rsidRDefault="00AA48D2" w:rsidP="00AA48D2">
      <w:pPr>
        <w:tabs>
          <w:tab w:val="left" w:pos="360"/>
        </w:tabs>
        <w:ind w:left="720"/>
        <w:jc w:val="both"/>
        <w:rPr>
          <w:b/>
        </w:rPr>
      </w:pPr>
      <w:r w:rsidRPr="00351F3E">
        <w:rPr>
          <w:b/>
        </w:rPr>
        <w:lastRenderedPageBreak/>
        <w:t>Disclaimer</w:t>
      </w:r>
    </w:p>
    <w:p w:rsidR="00AA48D2" w:rsidRPr="005E4B57" w:rsidRDefault="00AA48D2" w:rsidP="00AA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5E4B57">
        <w:t>The</w:t>
      </w:r>
      <w:r w:rsidR="006410E0">
        <w:t xml:space="preserve"> </w:t>
      </w:r>
      <w:r w:rsidRPr="005E4B57">
        <w:t>purpose</w:t>
      </w:r>
      <w:r w:rsidR="006410E0">
        <w:t xml:space="preserve"> </w:t>
      </w:r>
      <w:r w:rsidRPr="005E4B57">
        <w:t>of</w:t>
      </w:r>
      <w:r w:rsidR="006410E0">
        <w:t xml:space="preserve"> </w:t>
      </w:r>
      <w:r w:rsidRPr="005E4B57">
        <w:t>this</w:t>
      </w:r>
      <w:r w:rsidR="006410E0">
        <w:t xml:space="preserve"> </w:t>
      </w:r>
      <w:r w:rsidRPr="005E4B57">
        <w:t>material</w:t>
      </w:r>
      <w:r w:rsidR="006410E0">
        <w:t xml:space="preserve"> </w:t>
      </w:r>
      <w:r w:rsidRPr="005E4B57">
        <w:t>and</w:t>
      </w:r>
      <w:r w:rsidR="006410E0">
        <w:t xml:space="preserve"> </w:t>
      </w:r>
      <w:r w:rsidRPr="005E4B57">
        <w:t>this</w:t>
      </w:r>
      <w:r w:rsidR="006410E0">
        <w:t xml:space="preserve"> </w:t>
      </w:r>
      <w:r w:rsidRPr="005E4B57">
        <w:t>class</w:t>
      </w:r>
      <w:r w:rsidR="006410E0">
        <w:t xml:space="preserve"> </w:t>
      </w:r>
      <w:r w:rsidRPr="005E4B57">
        <w:t>is</w:t>
      </w:r>
      <w:r w:rsidR="006410E0">
        <w:t xml:space="preserve"> </w:t>
      </w:r>
      <w:r w:rsidRPr="005E4B57">
        <w:t>to</w:t>
      </w:r>
      <w:r w:rsidR="006410E0">
        <w:t xml:space="preserve"> </w:t>
      </w:r>
      <w:r w:rsidRPr="005E4B57">
        <w:t>help</w:t>
      </w:r>
      <w:r w:rsidR="006410E0">
        <w:t xml:space="preserve"> </w:t>
      </w:r>
      <w:r w:rsidRPr="005E4B57">
        <w:t>you</w:t>
      </w:r>
      <w:r w:rsidR="006410E0">
        <w:t xml:space="preserve"> </w:t>
      </w:r>
      <w:r w:rsidRPr="005E4B57">
        <w:t>get</w:t>
      </w:r>
      <w:r w:rsidR="006410E0">
        <w:t xml:space="preserve"> </w:t>
      </w:r>
      <w:r w:rsidRPr="005E4B57">
        <w:t>your</w:t>
      </w:r>
      <w:r w:rsidR="006410E0">
        <w:t xml:space="preserve"> </w:t>
      </w:r>
      <w:r w:rsidRPr="005E4B57">
        <w:t>financial</w:t>
      </w:r>
      <w:r w:rsidR="006410E0">
        <w:t xml:space="preserve"> </w:t>
      </w:r>
      <w:r w:rsidRPr="005E4B57">
        <w:t>house</w:t>
      </w:r>
      <w:r w:rsidR="006410E0">
        <w:t xml:space="preserve"> </w:t>
      </w:r>
      <w:r w:rsidRPr="005E4B57">
        <w:t>in</w:t>
      </w:r>
      <w:r w:rsidR="006410E0">
        <w:t xml:space="preserve"> </w:t>
      </w:r>
      <w:r w:rsidRPr="005E4B57">
        <w:t>order</w:t>
      </w:r>
      <w:r w:rsidR="006410E0">
        <w:t xml:space="preserve"> </w:t>
      </w:r>
      <w:r w:rsidRPr="005E4B57">
        <w:t>and</w:t>
      </w:r>
      <w:r w:rsidR="006410E0">
        <w:t xml:space="preserve"> </w:t>
      </w:r>
      <w:r w:rsidRPr="005E4B57">
        <w:t>to</w:t>
      </w:r>
      <w:r w:rsidR="006410E0">
        <w:t xml:space="preserve"> </w:t>
      </w:r>
      <w:r w:rsidRPr="005E4B57">
        <w:t>help</w:t>
      </w:r>
      <w:r w:rsidR="006410E0">
        <w:t xml:space="preserve"> </w:t>
      </w:r>
      <w:r w:rsidRPr="005E4B57">
        <w:t>you</w:t>
      </w:r>
      <w:r w:rsidR="006410E0">
        <w:t xml:space="preserve"> </w:t>
      </w:r>
      <w:r w:rsidRPr="005E4B57">
        <w:t>on</w:t>
      </w:r>
      <w:r w:rsidR="006410E0">
        <w:t xml:space="preserve"> </w:t>
      </w:r>
      <w:r w:rsidRPr="005E4B57">
        <w:t>your</w:t>
      </w:r>
      <w:r w:rsidR="006410E0">
        <w:t xml:space="preserve"> </w:t>
      </w:r>
      <w:r w:rsidRPr="005E4B57">
        <w:t>road</w:t>
      </w:r>
      <w:r w:rsidR="006410E0">
        <w:t xml:space="preserve"> </w:t>
      </w:r>
      <w:r w:rsidRPr="005E4B57">
        <w:t>to</w:t>
      </w:r>
      <w:r w:rsidR="006410E0">
        <w:t xml:space="preserve"> </w:t>
      </w:r>
      <w:r w:rsidRPr="005E4B57">
        <w:t>financial</w:t>
      </w:r>
      <w:r w:rsidR="006410E0">
        <w:t xml:space="preserve"> </w:t>
      </w:r>
      <w:r w:rsidRPr="005E4B57">
        <w:t>self-reliance.</w:t>
      </w:r>
      <w:r w:rsidR="006410E0">
        <w:t xml:space="preserve"> </w:t>
      </w:r>
      <w:r w:rsidRPr="005E4B57">
        <w:t>If</w:t>
      </w:r>
      <w:r w:rsidR="006410E0">
        <w:t xml:space="preserve"> </w:t>
      </w:r>
      <w:r w:rsidRPr="005E4B57">
        <w:t>there</w:t>
      </w:r>
      <w:r w:rsidR="006410E0">
        <w:t xml:space="preserve"> </w:t>
      </w:r>
      <w:r w:rsidRPr="005E4B57">
        <w:t>are</w:t>
      </w:r>
      <w:r w:rsidR="006410E0">
        <w:t xml:space="preserve"> </w:t>
      </w:r>
      <w:r w:rsidRPr="005E4B57">
        <w:t>mistakes</w:t>
      </w:r>
      <w:r w:rsidR="006410E0">
        <w:t xml:space="preserve"> </w:t>
      </w:r>
      <w:r w:rsidRPr="005E4B57">
        <w:t>in</w:t>
      </w:r>
      <w:r w:rsidR="006410E0">
        <w:t xml:space="preserve"> </w:t>
      </w:r>
      <w:r w:rsidRPr="005E4B57">
        <w:t>this</w:t>
      </w:r>
      <w:r w:rsidR="006410E0">
        <w:t xml:space="preserve"> </w:t>
      </w:r>
      <w:r w:rsidRPr="005E4B57">
        <w:t>material,</w:t>
      </w:r>
      <w:r w:rsidR="006410E0">
        <w:t xml:space="preserve"> </w:t>
      </w:r>
      <w:r w:rsidRPr="005E4B57">
        <w:t>please</w:t>
      </w:r>
      <w:r w:rsidR="006410E0">
        <w:t xml:space="preserve"> </w:t>
      </w:r>
      <w:r w:rsidRPr="005E4B57">
        <w:t>bring</w:t>
      </w:r>
      <w:r w:rsidR="006410E0">
        <w:t xml:space="preserve"> </w:t>
      </w:r>
      <w:r w:rsidRPr="005E4B57">
        <w:t>them</w:t>
      </w:r>
      <w:r w:rsidR="006410E0">
        <w:t xml:space="preserve"> </w:t>
      </w:r>
      <w:r w:rsidRPr="005E4B57">
        <w:t>to</w:t>
      </w:r>
      <w:r w:rsidR="006410E0">
        <w:t xml:space="preserve"> </w:t>
      </w:r>
      <w:r w:rsidRPr="005E4B57">
        <w:t>our</w:t>
      </w:r>
      <w:r w:rsidR="006410E0">
        <w:t xml:space="preserve"> </w:t>
      </w:r>
      <w:r w:rsidRPr="005E4B57">
        <w:t>attention,</w:t>
      </w:r>
      <w:r w:rsidR="006410E0">
        <w:t xml:space="preserve"> </w:t>
      </w:r>
      <w:r w:rsidRPr="005E4B57">
        <w:t>and</w:t>
      </w:r>
      <w:r w:rsidR="006410E0">
        <w:t xml:space="preserve"> </w:t>
      </w:r>
      <w:r w:rsidRPr="005E4B57">
        <w:t>we</w:t>
      </w:r>
      <w:r w:rsidR="006410E0">
        <w:t xml:space="preserve"> </w:t>
      </w:r>
      <w:r w:rsidRPr="005E4B57">
        <w:t>will</w:t>
      </w:r>
      <w:r w:rsidR="006410E0">
        <w:t xml:space="preserve"> </w:t>
      </w:r>
      <w:r w:rsidRPr="005E4B57">
        <w:t>correct</w:t>
      </w:r>
      <w:r w:rsidR="006410E0">
        <w:t xml:space="preserve"> </w:t>
      </w:r>
      <w:r w:rsidRPr="005E4B57">
        <w:t>them</w:t>
      </w:r>
      <w:r w:rsidR="006410E0">
        <w:t xml:space="preserve"> </w:t>
      </w:r>
      <w:r w:rsidRPr="005E4B57">
        <w:t>in</w:t>
      </w:r>
      <w:r w:rsidR="006410E0">
        <w:t xml:space="preserve"> </w:t>
      </w:r>
      <w:r w:rsidRPr="005E4B57">
        <w:t>upcoming</w:t>
      </w:r>
      <w:r w:rsidR="006410E0">
        <w:t xml:space="preserve"> </w:t>
      </w:r>
      <w:r w:rsidRPr="005E4B57">
        <w:t>versions.</w:t>
      </w:r>
      <w:r w:rsidR="006410E0">
        <w:t xml:space="preserve"> </w:t>
      </w:r>
      <w:r w:rsidRPr="005E4B57">
        <w:t>The</w:t>
      </w:r>
      <w:r w:rsidR="006410E0">
        <w:t xml:space="preserve"> </w:t>
      </w:r>
      <w:r w:rsidRPr="005E4B57">
        <w:t>teacher,</w:t>
      </w:r>
      <w:r w:rsidR="006410E0">
        <w:t xml:space="preserve"> </w:t>
      </w:r>
      <w:r w:rsidRPr="005E4B57">
        <w:t>and</w:t>
      </w:r>
      <w:r w:rsidR="006410E0">
        <w:t xml:space="preserve"> </w:t>
      </w:r>
      <w:r w:rsidRPr="005E4B57">
        <w:t>BYU,</w:t>
      </w:r>
      <w:r w:rsidR="006410E0">
        <w:t xml:space="preserve"> </w:t>
      </w:r>
      <w:r w:rsidRPr="005E4B57">
        <w:t>specifically</w:t>
      </w:r>
      <w:r w:rsidR="006410E0">
        <w:t xml:space="preserve"> </w:t>
      </w:r>
      <w:r w:rsidRPr="005E4B57">
        <w:t>disclaim</w:t>
      </w:r>
      <w:r w:rsidR="006410E0">
        <w:t xml:space="preserve"> </w:t>
      </w:r>
      <w:r w:rsidRPr="005E4B57">
        <w:t>any</w:t>
      </w:r>
      <w:r w:rsidR="006410E0">
        <w:t xml:space="preserve"> </w:t>
      </w:r>
      <w:r w:rsidRPr="005E4B57">
        <w:t>liability</w:t>
      </w:r>
      <w:r w:rsidR="006410E0">
        <w:t xml:space="preserve"> </w:t>
      </w:r>
      <w:r w:rsidRPr="005E4B57">
        <w:t>or</w:t>
      </w:r>
      <w:r w:rsidR="006410E0">
        <w:t xml:space="preserve"> </w:t>
      </w:r>
      <w:r w:rsidRPr="005E4B57">
        <w:t>responsibility</w:t>
      </w:r>
      <w:r w:rsidR="006410E0">
        <w:t xml:space="preserve"> </w:t>
      </w:r>
      <w:r w:rsidRPr="005E4B57">
        <w:t>for</w:t>
      </w:r>
      <w:r w:rsidR="006410E0">
        <w:t xml:space="preserve"> </w:t>
      </w:r>
      <w:r w:rsidRPr="005E4B57">
        <w:t>claims,</w:t>
      </w:r>
      <w:r w:rsidR="006410E0">
        <w:t xml:space="preserve"> </w:t>
      </w:r>
      <w:r w:rsidRPr="005E4B57">
        <w:t>loss,</w:t>
      </w:r>
      <w:r w:rsidR="006410E0">
        <w:t xml:space="preserve"> </w:t>
      </w:r>
      <w:r w:rsidRPr="005E4B57">
        <w:t>or</w:t>
      </w:r>
      <w:r w:rsidR="006410E0">
        <w:t xml:space="preserve"> </w:t>
      </w:r>
      <w:r w:rsidRPr="005E4B57">
        <w:t>risk</w:t>
      </w:r>
      <w:r w:rsidR="006410E0">
        <w:t xml:space="preserve"> </w:t>
      </w:r>
      <w:r w:rsidRPr="005E4B57">
        <w:t>incurred,</w:t>
      </w:r>
      <w:r w:rsidR="006410E0">
        <w:t xml:space="preserve"> </w:t>
      </w:r>
      <w:r w:rsidRPr="005E4B57">
        <w:t>directly</w:t>
      </w:r>
      <w:r w:rsidR="006410E0">
        <w:t xml:space="preserve"> </w:t>
      </w:r>
      <w:r w:rsidRPr="005E4B57">
        <w:t>or</w:t>
      </w:r>
      <w:r w:rsidR="006410E0">
        <w:t xml:space="preserve"> </w:t>
      </w:r>
      <w:r w:rsidRPr="005E4B57">
        <w:t>indirectly,</w:t>
      </w:r>
      <w:r w:rsidR="006410E0">
        <w:t xml:space="preserve"> </w:t>
      </w:r>
      <w:r w:rsidRPr="005E4B57">
        <w:t>by</w:t>
      </w:r>
      <w:r w:rsidR="006410E0">
        <w:t xml:space="preserve"> </w:t>
      </w:r>
      <w:r w:rsidRPr="005E4B57">
        <w:t>using</w:t>
      </w:r>
      <w:r w:rsidR="006410E0">
        <w:t xml:space="preserve"> </w:t>
      </w:r>
      <w:r w:rsidRPr="005E4B57">
        <w:t>this</w:t>
      </w:r>
      <w:r w:rsidR="006410E0">
        <w:t xml:space="preserve"> </w:t>
      </w:r>
      <w:r w:rsidRPr="005E4B57">
        <w:t>material.</w:t>
      </w:r>
    </w:p>
    <w:p w:rsidR="00AA48D2" w:rsidRDefault="00AA48D2" w:rsidP="00AA48D2">
      <w:pPr>
        <w:tabs>
          <w:tab w:val="left" w:pos="360"/>
        </w:tabs>
        <w:ind w:left="720"/>
        <w:jc w:val="both"/>
      </w:pPr>
    </w:p>
    <w:p w:rsidR="00AA48D2" w:rsidRDefault="00AA48D2">
      <w:pPr>
        <w:widowControl w:val="0"/>
      </w:pPr>
    </w:p>
    <w:sectPr w:rsidR="00AA48D2">
      <w:headerReference w:type="default" r:id="rId7"/>
      <w:footerReference w:type="default" r:id="rId8"/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CA" w:rsidRDefault="00AB4DCA">
      <w:r>
        <w:separator/>
      </w:r>
    </w:p>
  </w:endnote>
  <w:endnote w:type="continuationSeparator" w:id="0">
    <w:p w:rsidR="00AB4DCA" w:rsidRDefault="00AB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AF" w:rsidRDefault="00AD1CAF">
    <w:pPr>
      <w:pStyle w:val="Footer"/>
    </w:pPr>
  </w:p>
  <w:p w:rsidR="00AD1CAF" w:rsidRDefault="00AD1CAF">
    <w:pPr>
      <w:pStyle w:val="Footer"/>
      <w:pBdr>
        <w:top w:val="single" w:sz="4" w:space="1" w:color="auto"/>
      </w:pBdr>
      <w:jc w:val="center"/>
    </w:pPr>
    <w:r>
      <w:t xml:space="preserve">- Page </w:t>
    </w:r>
    <w:r>
      <w:fldChar w:fldCharType="begin"/>
    </w:r>
    <w:r>
      <w:instrText xml:space="preserve"> PAGE </w:instrText>
    </w:r>
    <w:r>
      <w:fldChar w:fldCharType="separate"/>
    </w:r>
    <w:r w:rsidR="006410E0">
      <w:rPr>
        <w:noProof/>
      </w:rPr>
      <w:t>3</w:t>
    </w:r>
    <w:r>
      <w:fldChar w:fldCharType="end"/>
    </w:r>
    <w:r>
      <w:t xml:space="preserve"> of </w:t>
    </w:r>
    <w:fldSimple w:instr=" NUMPAGES ">
      <w:r w:rsidR="006410E0">
        <w:rPr>
          <w:noProof/>
        </w:rPr>
        <w:t>3</w:t>
      </w:r>
    </w:fldSimple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CA" w:rsidRDefault="00AB4DCA">
      <w:r>
        <w:separator/>
      </w:r>
    </w:p>
  </w:footnote>
  <w:footnote w:type="continuationSeparator" w:id="0">
    <w:p w:rsidR="00AB4DCA" w:rsidRDefault="00AB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AF" w:rsidRDefault="00AD1CAF" w:rsidP="00980ABD">
    <w:pPr>
      <w:pStyle w:val="Header"/>
      <w:pBdr>
        <w:bottom w:val="single" w:sz="4" w:space="1" w:color="auto"/>
      </w:pBdr>
      <w:jc w:val="center"/>
    </w:pPr>
    <w:r>
      <w:t>Possible Benchmarks for Investment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401B9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A1"/>
    <w:rsid w:val="000038FF"/>
    <w:rsid w:val="00010D3B"/>
    <w:rsid w:val="000601DD"/>
    <w:rsid w:val="000C3FDF"/>
    <w:rsid w:val="00197243"/>
    <w:rsid w:val="00205050"/>
    <w:rsid w:val="00265F12"/>
    <w:rsid w:val="002C4DA1"/>
    <w:rsid w:val="003A234E"/>
    <w:rsid w:val="00551D82"/>
    <w:rsid w:val="005C570C"/>
    <w:rsid w:val="005C6F0D"/>
    <w:rsid w:val="005D2876"/>
    <w:rsid w:val="006242EB"/>
    <w:rsid w:val="006410E0"/>
    <w:rsid w:val="006B4191"/>
    <w:rsid w:val="007141AF"/>
    <w:rsid w:val="007F043C"/>
    <w:rsid w:val="00935402"/>
    <w:rsid w:val="00980ABD"/>
    <w:rsid w:val="009B129D"/>
    <w:rsid w:val="009F1D68"/>
    <w:rsid w:val="00A161B2"/>
    <w:rsid w:val="00A8649A"/>
    <w:rsid w:val="00AA48D2"/>
    <w:rsid w:val="00AB4DCA"/>
    <w:rsid w:val="00AD1CAF"/>
    <w:rsid w:val="00B025B7"/>
    <w:rsid w:val="00B35E3A"/>
    <w:rsid w:val="00C92A51"/>
    <w:rsid w:val="00D0217B"/>
    <w:rsid w:val="00D0349C"/>
    <w:rsid w:val="00E900FD"/>
    <w:rsid w:val="00EC29CD"/>
    <w:rsid w:val="00EC6ADA"/>
    <w:rsid w:val="00F15252"/>
    <w:rsid w:val="00F31A1D"/>
    <w:rsid w:val="00FC3B18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FD913-F9E1-42CF-A97A-A1508BD0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ind w:left="288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ind w:left="576" w:right="288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ind w:left="864" w:right="576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  <w:szCs w:val="20"/>
    </w:rPr>
  </w:style>
  <w:style w:type="paragraph" w:styleId="Heading6">
    <w:name w:val="heading 6"/>
    <w:basedOn w:val="Normal"/>
    <w:next w:val="Normal"/>
    <w:qFormat/>
    <w:pPr>
      <w:ind w:left="1440" w:right="720"/>
      <w:outlineLvl w:val="5"/>
    </w:pPr>
    <w:rPr>
      <w:rFonts w:ascii="CG Times" w:hAnsi="CG Times"/>
      <w:i/>
      <w:spacing w:val="-5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2C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TT23 – Investment Policy:  Individual Investor</vt:lpstr>
    </vt:vector>
  </TitlesOfParts>
  <Company>Brigham Young University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TT23 – Investment Policy:  Individual Investor</dc:title>
  <dc:subject/>
  <dc:creator>Bryan Sudweeks</dc:creator>
  <cp:keywords/>
  <dc:description/>
  <cp:lastModifiedBy>Bryan Sudweeks</cp:lastModifiedBy>
  <cp:revision>3</cp:revision>
  <cp:lastPrinted>2006-10-11T15:44:00Z</cp:lastPrinted>
  <dcterms:created xsi:type="dcterms:W3CDTF">2017-12-20T17:46:00Z</dcterms:created>
  <dcterms:modified xsi:type="dcterms:W3CDTF">2017-12-20T17:47:00Z</dcterms:modified>
</cp:coreProperties>
</file>